
<file path=[Content_Types].xml><?xml version="1.0" encoding="utf-8"?>
<Types xmlns="http://schemas.openxmlformats.org/package/2006/content-types">
  <Default Extension="bin" ContentType="application/vnd.openxmlformats-officedocument.oleObject"/>
  <Default Extension="bmp" ContentType="image/bmp"/>
  <Default Extension="jpg" ContentType="image/jpeg"/>
  <Default Extension="jpeg" ContentType="image/jpeg"/>
  <Default Extension="jpe" ContentType="image/jpeg"/>
  <Default Extension="png" ContentType="image/png"/>
  <Default Extension="gif" ContentType="image/gif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76"/>
        <w:jc w:val="center"/>
        <w:rPr>
          <w:b/>
          <w:i/>
        </w:rPr>
      </w:pPr>
      <w:r>
        <w:rPr>
          <w:b/>
          <w:i/>
        </w:rPr>
        <mc:AlternateContent>
          <mc:Choice Requires="wps">
            <w:drawing>
              <wp:inline xmlns:wp="http://schemas.openxmlformats.org/drawingml/2006/wordprocessingDrawing" distT="0" distB="0" distL="0" distR="0">
                <wp:extent cx="2047972" cy="990723"/>
                <wp:effectExtent l="0" t="0" r="0" b="0"/>
                <wp:docPr hidden="false"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47976" cy="990727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/>
                        </a:blip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_s0" o:spt="1" style="mso-wrap-distance-left:0.0pt;mso-wrap-distance-top:0.0pt;mso-wrap-distance-right:0.0pt;mso-wrap-distance-bottom:0.0pt;width:161.3pt;height:78.0pt;" coordsize="1" path="m0,0l100000,0l100000,99998l0,99998xnfe">
                <v:path textboxrect="0,0,100000,99998"/>
                <v:fill r:id="rId8" o:title="" type="frame"/>
              </v:shape>
            </w:pict>
          </mc:Fallback>
        </mc:AlternateContent>
      </w:r>
      <w:r>
        <w:rPr>
          <w:b/>
          <w:i/>
        </w:rPr>
      </w:r>
      <w:r/>
    </w:p>
    <w:p>
      <w:pPr>
        <w:pStyle w:val="176"/>
        <w:jc w:val="center"/>
        <w:rPr>
          <w:b/>
          <w:i/>
        </w:rPr>
      </w:pPr>
      <w:r>
        <w:rPr>
          <w:b/>
          <w:i/>
        </w:rPr>
        <w:t xml:space="preserve">ПОЛОЖЕНИЕ О ПРОВЕДЕНИИ СОРЕВНОВАНИЙ ПО П</w:t>
      </w:r>
      <w:r>
        <w:rPr>
          <w:b/>
          <w:i/>
        </w:rPr>
        <w:t xml:space="preserve">ЛЯЖНОМУ ВОЛЕЙБОЛУ</w:t>
      </w:r>
      <w:r>
        <w:rPr>
          <w:b/>
          <w:i/>
        </w:rPr>
      </w:r>
      <w:r/>
    </w:p>
    <w:p>
      <w:pPr>
        <w:pStyle w:val="176"/>
        <w:jc w:val="center"/>
        <w:rPr>
          <w:b/>
          <w:i/>
        </w:rPr>
      </w:pPr>
      <w:r>
        <w:rPr>
          <w:b/>
          <w:i/>
          <w:lang w:val="en-US"/>
        </w:rPr>
        <w:t xml:space="preserve">FITNESS</w:t>
      </w:r>
      <w:r>
        <w:rPr>
          <w:b/>
          <w:i/>
        </w:rPr>
        <w:t xml:space="preserve"> </w:t>
      </w:r>
      <w:r>
        <w:rPr>
          <w:b/>
          <w:i/>
          <w:lang w:val="en-US"/>
        </w:rPr>
        <w:t xml:space="preserve">FIESTA</w:t>
      </w:r>
      <w:r>
        <w:rPr>
          <w:b/>
          <w:i/>
        </w:rPr>
        <w:t xml:space="preserve">-201</w:t>
      </w:r>
      <w:r>
        <w:rPr>
          <w:b/>
          <w:i/>
          <w:lang w:val="en-US"/>
        </w:rPr>
        <w:t xml:space="preserve">9</w:t>
      </w:r>
      <w:r>
        <w:rPr>
          <w:b/>
          <w:i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1.Сроки и место проведения</w:t>
      </w:r>
      <w:r/>
    </w:p>
    <w:p>
      <w:pPr>
        <w:pStyle w:val="176"/>
        <w:ind w:firstLine="426"/>
        <w:jc w:val="both"/>
      </w:pPr>
      <w:r>
        <w:t xml:space="preserve">Соревнования по пляжному волейболу </w:t>
      </w:r>
      <w:r>
        <w:rPr>
          <w:lang w:val="en-US"/>
        </w:rPr>
        <w:t xml:space="preserve">Fitness</w:t>
      </w:r>
      <w:r>
        <w:t xml:space="preserve"> </w:t>
      </w:r>
      <w:r>
        <w:rPr>
          <w:lang w:val="en-US"/>
        </w:rPr>
        <w:t xml:space="preserve">Fiesta</w:t>
      </w:r>
      <w:r>
        <w:t xml:space="preserve">-2019</w:t>
      </w:r>
      <w:r>
        <w:t xml:space="preserve"> проводятся в г. Нижнем Новгороде </w:t>
      </w:r>
      <w:r>
        <w:t xml:space="preserve">на пляже гребного канала</w:t>
      </w:r>
      <w:r>
        <w:t xml:space="preserve">.  </w:t>
      </w:r>
      <w:r>
        <w:t xml:space="preserve">Начало </w:t>
      </w:r>
      <w:r>
        <w:t xml:space="preserve">соревнований в </w:t>
      </w:r>
      <w:r>
        <w:t xml:space="preserve">1</w:t>
      </w:r>
      <w:r>
        <w:t xml:space="preserve">0:</w:t>
      </w:r>
      <w:r>
        <w:rPr>
          <w:lang w:val="en-US"/>
        </w:rPr>
        <w:t xml:space="preserve">0</w:t>
      </w:r>
      <w:r>
        <w:t xml:space="preserve">0,</w:t>
      </w:r>
      <w:r>
        <w:t xml:space="preserve"> </w:t>
      </w:r>
      <w:r>
        <w:t xml:space="preserve">29</w:t>
      </w:r>
      <w:r>
        <w:t xml:space="preserve"> июня 2019</w:t>
      </w:r>
      <w:r>
        <w:t xml:space="preserve"> года.</w:t>
      </w:r>
      <w:r>
        <w:t xml:space="preserve"> </w:t>
      </w:r>
      <w:r>
        <w:rPr>
          <w:lang w:val="ru-RU"/>
        </w:rPr>
        <w:t xml:space="preserve">С 09:00 - 10:00 повторная регистрация явки команд и разминка участников турнира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2.Цель проведения соревнований</w:t>
      </w:r>
      <w:r/>
    </w:p>
    <w:p>
      <w:pPr>
        <w:pStyle w:val="176"/>
      </w:pPr>
      <w:r>
        <w:t xml:space="preserve">-п</w:t>
      </w:r>
      <w:r>
        <w:t xml:space="preserve">опуляризация и развитие пляжного волейбола</w:t>
      </w:r>
      <w:r>
        <w:t xml:space="preserve"> в Нижегородской области</w:t>
      </w:r>
      <w:r>
        <w:t xml:space="preserve"> и ЗОЖ</w:t>
      </w:r>
      <w:r/>
    </w:p>
    <w:p>
      <w:pPr>
        <w:pStyle w:val="176"/>
      </w:pPr>
      <w:r>
        <w:t xml:space="preserve">-повышение уровня спортивного мастерства</w:t>
      </w:r>
      <w:r/>
    </w:p>
    <w:p>
      <w:pPr>
        <w:pStyle w:val="176"/>
      </w:pPr>
      <w:r>
        <w:t xml:space="preserve">-</w:t>
      </w:r>
      <w:r>
        <w:t xml:space="preserve">выявление сильнейших спортсменов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3.Руко</w:t>
      </w:r>
      <w:r>
        <w:rPr>
          <w:b/>
        </w:rPr>
        <w:t xml:space="preserve">водство проведением соревнований</w:t>
      </w:r>
      <w:r/>
    </w:p>
    <w:p>
      <w:pPr>
        <w:pStyle w:val="176"/>
        <w:ind w:firstLine="426"/>
        <w:jc w:val="both"/>
      </w:pPr>
      <w:r>
        <w:t xml:space="preserve">Общее </w:t>
      </w:r>
      <w:r>
        <w:t xml:space="preserve">руководство проведением соревнований осуществляется </w:t>
      </w:r>
      <w:r>
        <w:t xml:space="preserve">тренерским составом </w:t>
      </w:r>
      <w:r/>
    </w:p>
    <w:p>
      <w:pPr>
        <w:pStyle w:val="176"/>
        <w:ind w:hanging="0"/>
        <w:jc w:val="both"/>
      </w:pPr>
      <w:r>
        <w:t xml:space="preserve">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.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4. У</w:t>
      </w:r>
      <w:r>
        <w:rPr>
          <w:b/>
        </w:rPr>
        <w:t xml:space="preserve">частники соревнований, условия проведения</w:t>
      </w:r>
      <w:r>
        <w:rPr>
          <w:b/>
        </w:rPr>
      </w:r>
      <w:r/>
    </w:p>
    <w:p>
      <w:pPr>
        <w:pStyle w:val="176"/>
        <w:jc w:val="both"/>
        <w:rPr>
          <w:rStyle w:val="187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Соревнования проводятся как в женской группе так и в мужской.</w:t>
      </w:r>
      <w:r>
        <w:rPr>
          <w:color w:val="000000"/>
          <w:shd w:val="clear" w:color="auto" w:fill="FFFFFF"/>
        </w:rPr>
        <w:t xml:space="preserve">В каждой группе должно быть не меньше 3 команд, если не набирается 3 команды то соревнования проводятся в общей группе. Причем если женская команда выступает против мужской, то женская команда имеет гамбит в виде 6 очков в партии из 21 и 5 до 15. В соревнованиях участвуют команды, составленные исключительно из 2-х игроков (правила соревнований по пляжному волейболу гл.2 Участники п.4.1.1</w:t>
      </w:r>
      <w:r>
        <w:rPr>
          <w:color w:val="000000"/>
          <w:shd w:val="clear" w:color="auto" w:fill="FFFFFF"/>
        </w:rPr>
        <w:t xml:space="preserve">)</w:t>
      </w:r>
      <w:r>
        <w:rPr>
          <w:rStyle w:val="187"/>
          <w:color w:val="000000"/>
          <w:shd w:val="clear" w:color="auto" w:fill="FFFFFF"/>
        </w:rPr>
        <w:t xml:space="preserve"> В турнире участники будут распределены в группы</w:t>
      </w:r>
      <w:r>
        <w:rPr>
          <w:rStyle w:val="187"/>
          <w:shd w:val="clear" w:color="auto" w:fill="FFFFFF"/>
        </w:rPr>
        <w:t xml:space="preserve">. </w:t>
      </w:r>
      <w:r>
        <w:rPr>
          <w:shd w:val="clear" w:color="auto" w:fill="F4F4F4"/>
        </w:rPr>
        <w:t xml:space="preserve"> В матче побеждает команда, которая выиграет две партии.</w:t>
      </w:r>
      <w:r>
        <w:rPr>
          <w:rStyle w:val="187"/>
          <w:shd w:val="clear" w:color="auto" w:fill="F4F4F4"/>
        </w:rPr>
        <w:t xml:space="preserve"> </w:t>
      </w:r>
      <w:r>
        <w:rPr>
          <w:shd w:val="clear" w:color="auto" w:fill="F4F4F4"/>
        </w:rPr>
        <w:t xml:space="preserve">В случае счета по партиям 1:1 команды играют третью решающую партию.</w:t>
      </w:r>
      <w:r>
        <w:rPr>
          <w:rStyle w:val="187"/>
          <w:shd w:val="clear" w:color="auto" w:fill="F4F4F4"/>
        </w:rPr>
        <w:t xml:space="preserve"> </w:t>
      </w:r>
      <w:r>
        <w:rPr>
          <w:shd w:val="clear" w:color="auto" w:fill="F4F4F4"/>
        </w:rPr>
        <w:t xml:space="preserve">Партию выигрывает команда, которая первой наберет 15 очков при разнице минимум в два очка.</w:t>
      </w:r>
      <w:r>
        <w:rPr>
          <w:rStyle w:val="187"/>
          <w:shd w:val="clear" w:color="auto" w:fill="F4F4F4"/>
        </w:rPr>
        <w:t xml:space="preserve"> </w:t>
      </w:r>
      <w:r>
        <w:rPr>
          <w:shd w:val="clear" w:color="auto" w:fill="F4F4F4"/>
        </w:rPr>
        <w:t xml:space="preserve">При счете 14:14, игра продолжится до разницы в два очка (16:14, 17:15 и т. д.).</w:t>
      </w:r>
      <w:r>
        <w:rPr>
          <w:rStyle w:val="187"/>
          <w:shd w:val="clear" w:color="auto" w:fill="F4F4F4"/>
        </w:rPr>
        <w:t xml:space="preserve"> </w:t>
      </w:r>
      <w:r>
        <w:rPr>
          <w:shd w:val="clear" w:color="auto" w:fill="F4F4F4"/>
        </w:rPr>
        <w:t xml:space="preserve">Соревнования по пляжному волейболу проводятся согласно официальным правилам Международной Федерации Волейбола (ФИВБ)</w:t>
      </w:r>
      <w:r>
        <w:rPr>
          <w:shd w:val="clear" w:color="auto" w:fill="F4F4F4"/>
        </w:rPr>
        <w:t xml:space="preserve">. В плей-</w:t>
      </w:r>
      <w:r>
        <w:rPr>
          <w:shd w:val="clear" w:color="auto" w:fill="F4F4F4"/>
        </w:rPr>
        <w:t xml:space="preserve">офф выходят две команды, занявшие первые два места, с максимальным количеством очков. В случае команд, набравшие равное количество очков, </w:t>
      </w:r>
      <w:r>
        <w:rPr>
          <w:shd w:val="clear" w:color="auto" w:fill="F4F4F4"/>
        </w:rPr>
        <w:t xml:space="preserve">учитывается личные встречи. </w:t>
      </w:r>
      <w:r>
        <w:rPr>
          <w:rStyle w:val="187"/>
          <w:shd w:val="clear" w:color="auto" w:fill="FFFFFF"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5</w:t>
      </w:r>
      <w:r>
        <w:rPr>
          <w:b/>
        </w:rPr>
        <w:t xml:space="preserve">.Порядок подачи заявок</w:t>
      </w:r>
      <w:r>
        <w:rPr>
          <w:b/>
        </w:rPr>
      </w:r>
      <w:r/>
    </w:p>
    <w:p>
      <w:pPr>
        <w:pStyle w:val="176"/>
        <w:jc w:val="left"/>
      </w:pPr>
      <w:r>
        <w:t xml:space="preserve">             Заявки принимаются от </w:t>
      </w:r>
      <w:r>
        <w:t xml:space="preserve">капитанов команд </w:t>
      </w:r>
      <w:r>
        <w:t xml:space="preserve">до </w:t>
      </w:r>
      <w:r>
        <w:t xml:space="preserve">27.06.19 включительно</w:t>
      </w:r>
      <w:r>
        <w:t xml:space="preserve">,</w:t>
      </w:r>
      <w:r>
        <w:t xml:space="preserve"> согласно приложению №</w:t>
      </w:r>
      <w:r>
        <w:t xml:space="preserve">1. Оплата стартового взноса осуществляется по адресу ул. Казанское шоссе 11, ТРК Индиго, </w:t>
      </w:r>
      <w:r>
        <w:t xml:space="preserve"> </w:t>
      </w:r>
      <w:r>
        <w:t xml:space="preserve">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. </w:t>
      </w:r>
      <w:r/>
    </w:p>
    <w:p>
      <w:pPr>
        <w:pStyle w:val="176"/>
        <w:jc w:val="left"/>
        <w:rPr>
          <w:b/>
        </w:rPr>
      </w:pPr>
      <w:r>
        <w:rPr>
          <w:b/>
        </w:rPr>
      </w:r>
      <w:r/>
    </w:p>
    <w:p>
      <w:pPr>
        <w:pStyle w:val="176"/>
        <w:jc w:val="center"/>
        <w:rPr>
          <w:b/>
        </w:rPr>
      </w:pPr>
      <w:r>
        <w:rPr>
          <w:b/>
        </w:rPr>
      </w:r>
      <w:r/>
    </w:p>
    <w:p>
      <w:pPr>
        <w:pStyle w:val="176"/>
        <w:jc w:val="center"/>
      </w:pPr>
      <w:r>
        <w:rPr>
          <w:b/>
        </w:rPr>
        <w:t xml:space="preserve">6</w:t>
      </w:r>
      <w:r>
        <w:rPr>
          <w:b/>
        </w:rPr>
        <w:t xml:space="preserve">. Условия подведения итогов</w:t>
      </w:r>
      <w:r>
        <w:rPr>
          <w:b/>
        </w:rPr>
      </w:r>
      <w:r/>
    </w:p>
    <w:p>
      <w:pPr>
        <w:pStyle w:val="176"/>
        <w:jc w:val="both"/>
      </w:pPr>
      <w:r>
        <w:t xml:space="preserve">            Команды, занявшие 1, 2, 3 места, награждаются кубками, медалями, грамотами и памятными призами от сети КФК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rPr>
          <w:lang w:val="ru-RU"/>
        </w:rPr>
        <w:t xml:space="preserve"> (1 место-клубная карта на 3 месяца, 2 место-клубная карта на 2 месяца, 3 место-клубная карта на 1 месяц)</w:t>
      </w:r>
      <w:r>
        <w:t xml:space="preserve"> и партнеров.</w:t>
      </w:r>
      <w:r/>
    </w:p>
    <w:p>
      <w:pPr>
        <w:pStyle w:val="176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7</w:t>
      </w:r>
      <w:r>
        <w:rPr>
          <w:b/>
        </w:rPr>
        <w:t xml:space="preserve">.Финансовое обеспечение соревнования.</w:t>
      </w:r>
      <w:r/>
    </w:p>
    <w:p>
      <w:pPr>
        <w:pStyle w:val="176"/>
        <w:jc w:val="both"/>
      </w:pPr>
      <w:r>
        <w:t xml:space="preserve">1.1</w:t>
      </w:r>
      <w:r>
        <w:t xml:space="preserve">Расходы, связанные с организацией и проведением соревнований в части награждения победителей и призеров соревнований, производятся за счет средств </w:t>
      </w:r>
      <w:r>
        <w:t xml:space="preserve">Сети комфорт фитнес-клубов </w:t>
      </w:r>
      <w:r>
        <w:rPr>
          <w:lang w:val="en-US"/>
        </w:rPr>
        <w:t xml:space="preserve">Gold</w:t>
      </w:r>
      <w:r>
        <w:t xml:space="preserve">’</w:t>
      </w:r>
      <w:r>
        <w:rPr>
          <w:lang w:val="en-US"/>
        </w:rPr>
        <w:t xml:space="preserve">s</w:t>
      </w:r>
      <w:r>
        <w:t xml:space="preserve"> </w:t>
      </w:r>
      <w:r>
        <w:rPr>
          <w:lang w:val="en-US"/>
        </w:rPr>
        <w:t xml:space="preserve">Fitness</w:t>
      </w:r>
      <w:r>
        <w:t xml:space="preserve"> и партнеров. </w:t>
      </w:r>
      <w:r/>
    </w:p>
    <w:p>
      <w:pPr>
        <w:pStyle w:val="176"/>
        <w:jc w:val="both"/>
      </w:pPr>
      <w:r>
        <w:t xml:space="preserve">1.2 Вступительный взнос с команды участников___</w:t>
      </w:r>
      <w:r>
        <w:rPr>
          <w:u w:val="single"/>
        </w:rPr>
        <w:t xml:space="preserve">1500</w:t>
      </w:r>
      <w:r>
        <w:t xml:space="preserve">___руб.            </w:t>
      </w:r>
      <w:r/>
    </w:p>
    <w:p>
      <w:pPr>
        <w:pStyle w:val="176"/>
        <w:jc w:val="both"/>
      </w:pPr>
      <w:r>
        <w:t xml:space="preserve">         </w:t>
      </w:r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p>
      <w:pPr>
        <w:pStyle w:val="176"/>
        <w:jc w:val="both"/>
        <w:rPr>
          <w:b/>
        </w:rPr>
      </w:pPr>
      <w:r>
        <w:rPr>
          <w:b/>
        </w:rPr>
        <w:tab/>
        <w:tab/>
        <w:tab/>
        <w:tab/>
        <w:tab/>
        <w:tab/>
        <w:tab/>
        <w:tab/>
        <w:tab/>
        <w:tab/>
        <w:tab/>
        <w:t xml:space="preserve">Приложение 1</w:t>
      </w:r>
      <w:r>
        <w:rPr>
          <w:b/>
        </w:rPr>
      </w:r>
      <w:r/>
    </w:p>
    <w:p>
      <w:pPr>
        <w:pStyle w:val="176"/>
        <w:jc w:val="both"/>
        <w:rPr>
          <w:b/>
        </w:rPr>
      </w:pPr>
      <w:r>
        <w:rPr>
          <w:b/>
        </w:rPr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Название команды _____________________________________________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Игрок 1________________________________________________________</w:t>
      </w:r>
      <w:r/>
    </w:p>
    <w:p>
      <w:pPr>
        <w:pStyle w:val="176"/>
        <w:jc w:val="center"/>
        <w:rPr>
          <w:b/>
        </w:rPr>
      </w:pPr>
      <w:r>
        <w:rPr>
          <w:b/>
        </w:rPr>
        <w:t xml:space="preserve">Игрок 2________________________________________________________</w:t>
      </w:r>
      <w:r>
        <w:rPr>
          <w:b/>
        </w:rPr>
      </w:r>
      <w:r/>
    </w:p>
    <w:p>
      <w:pPr>
        <w:pStyle w:val="176"/>
        <w:jc w:val="center"/>
        <w:rPr>
          <w:b/>
        </w:rPr>
      </w:pPr>
      <w:r>
        <w:t xml:space="preserve">Контактный телефон_____________________________________________</w:t>
      </w:r>
      <w:r/>
    </w:p>
    <w:p>
      <w:pPr>
        <w:pStyle w:val="176"/>
        <w:jc w:val="both"/>
      </w:pPr>
      <w:r/>
      <w:r/>
    </w:p>
    <w:p>
      <w:pPr>
        <w:pStyle w:val="176"/>
        <w:jc w:val="both"/>
      </w:pPr>
      <w:r/>
      <w:r/>
    </w:p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785"/>
        <w:gridCol w:w="4786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76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76"/>
            </w:pPr>
            <w:r>
              <w:t xml:space="preserve">                                            </w:t>
            </w:r>
            <w:r/>
          </w:p>
          <w:p>
            <w:pPr>
              <w:pStyle w:val="176"/>
            </w:pPr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5" w:type="dxa"/>
            <w:vAlign w:val="top"/>
            <w:textDirection w:val="lrTb"/>
            <w:noWrap w:val="false"/>
          </w:tcPr>
          <w:p>
            <w:pPr>
              <w:pStyle w:val="176"/>
            </w:pP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786" w:type="dxa"/>
            <w:vAlign w:val="top"/>
            <w:textDirection w:val="lrTb"/>
            <w:noWrap w:val="false"/>
          </w:tcPr>
          <w:p>
            <w:pPr>
              <w:pStyle w:val="176"/>
            </w:pPr>
            <w:r/>
            <w:r/>
          </w:p>
        </w:tc>
      </w:tr>
    </w:tbl>
    <w:p>
      <w:pPr>
        <w:pStyle w:val="176"/>
        <w:tabs>
          <w:tab w:val="left" w:pos="4680"/>
        </w:tabs>
      </w:pPr>
      <w:r/>
      <w:r/>
    </w:p>
    <w:p>
      <w:pPr>
        <w:pStyle w:val="176"/>
      </w:pPr>
      <w:r/>
      <w:r/>
    </w:p>
    <w:p>
      <w:pPr>
        <w:pStyle w:val="176"/>
      </w:pPr>
      <w:r/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</w:font>
  <w:font w:name="Calibri">
    <w:panose1 w:val="020F0502020204030204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Wingdings">
    <w:panose1 w:val="05000000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bullet"/>
      <w:suff w:val="tab"/>
      <w:lvlText w:val=""/>
      <w:lvlJc w:val="left"/>
      <w:pPr>
        <w:pStyle w:val="176"/>
        <w:ind w:left="720" w:hanging="356"/>
        <w:tabs>
          <w:tab w:val="left" w:pos="720"/>
        </w:tabs>
      </w:pPr>
      <w:rPr>
        <w:rFonts w:ascii="Symbol" w:hAnsi="Symbol"/>
        <w:sz w:val="20"/>
      </w:rPr>
    </w:lvl>
    <w:lvl w:ilvl="1">
      <w:start w:val="1"/>
      <w:numFmt w:val="bullet"/>
      <w:suff w:val="tab"/>
      <w:lvlText w:val="o"/>
      <w:lvlJc w:val="left"/>
      <w:pPr>
        <w:pStyle w:val="176"/>
        <w:ind w:left="1440" w:hanging="356"/>
        <w:tabs>
          <w:tab w:val="left" w:pos="1440"/>
        </w:tabs>
      </w:pPr>
      <w:rPr>
        <w:rFonts w:ascii="Courier New" w:hAnsi="Courier New"/>
        <w:sz w:val="20"/>
      </w:rPr>
    </w:lvl>
    <w:lvl w:ilvl="2">
      <w:start w:val="1"/>
      <w:numFmt w:val="bullet"/>
      <w:suff w:val="tab"/>
      <w:lvlText w:val=""/>
      <w:lvlJc w:val="left"/>
      <w:pPr>
        <w:pStyle w:val="176"/>
        <w:ind w:left="2160" w:hanging="356"/>
        <w:tabs>
          <w:tab w:val="left" w:pos="2160"/>
        </w:tabs>
      </w:pPr>
      <w:rPr>
        <w:rFonts w:ascii="Wingdings" w:hAnsi="Wingdings"/>
        <w:sz w:val="20"/>
      </w:rPr>
    </w:lvl>
    <w:lvl w:ilvl="3">
      <w:start w:val="1"/>
      <w:numFmt w:val="bullet"/>
      <w:suff w:val="tab"/>
      <w:lvlText w:val=""/>
      <w:lvlJc w:val="left"/>
      <w:pPr>
        <w:pStyle w:val="176"/>
        <w:ind w:left="2880" w:hanging="356"/>
        <w:tabs>
          <w:tab w:val="left" w:pos="2880"/>
        </w:tabs>
      </w:pPr>
      <w:rPr>
        <w:rFonts w:ascii="Wingdings" w:hAnsi="Wingdings"/>
        <w:sz w:val="20"/>
      </w:rPr>
    </w:lvl>
    <w:lvl w:ilvl="4">
      <w:start w:val="1"/>
      <w:numFmt w:val="bullet"/>
      <w:suff w:val="tab"/>
      <w:lvlText w:val=""/>
      <w:lvlJc w:val="left"/>
      <w:pPr>
        <w:pStyle w:val="176"/>
        <w:ind w:left="3600" w:hanging="356"/>
        <w:tabs>
          <w:tab w:val="left" w:pos="3600"/>
        </w:tabs>
      </w:pPr>
      <w:rPr>
        <w:rFonts w:ascii="Wingdings" w:hAnsi="Wingdings"/>
        <w:sz w:val="20"/>
      </w:rPr>
    </w:lvl>
    <w:lvl w:ilvl="5">
      <w:start w:val="1"/>
      <w:numFmt w:val="bullet"/>
      <w:suff w:val="tab"/>
      <w:lvlText w:val=""/>
      <w:lvlJc w:val="left"/>
      <w:pPr>
        <w:pStyle w:val="176"/>
        <w:ind w:left="4320" w:hanging="356"/>
        <w:tabs>
          <w:tab w:val="left" w:pos="4320"/>
        </w:tabs>
      </w:pPr>
      <w:rPr>
        <w:rFonts w:ascii="Wingdings" w:hAnsi="Wingdings"/>
        <w:sz w:val="20"/>
      </w:rPr>
    </w:lvl>
    <w:lvl w:ilvl="6">
      <w:start w:val="1"/>
      <w:numFmt w:val="bullet"/>
      <w:suff w:val="tab"/>
      <w:lvlText w:val=""/>
      <w:lvlJc w:val="left"/>
      <w:pPr>
        <w:pStyle w:val="176"/>
        <w:ind w:left="5040" w:hanging="356"/>
        <w:tabs>
          <w:tab w:val="left" w:pos="5040"/>
        </w:tabs>
      </w:pPr>
      <w:rPr>
        <w:rFonts w:ascii="Wingdings" w:hAnsi="Wingdings"/>
        <w:sz w:val="20"/>
      </w:rPr>
    </w:lvl>
    <w:lvl w:ilvl="7">
      <w:start w:val="1"/>
      <w:numFmt w:val="bullet"/>
      <w:suff w:val="tab"/>
      <w:lvlText w:val=""/>
      <w:lvlJc w:val="left"/>
      <w:pPr>
        <w:pStyle w:val="176"/>
        <w:ind w:left="5760" w:hanging="356"/>
        <w:tabs>
          <w:tab w:val="left" w:pos="5760"/>
        </w:tabs>
      </w:pPr>
      <w:rPr>
        <w:rFonts w:ascii="Wingdings" w:hAnsi="Wingdings"/>
        <w:sz w:val="20"/>
      </w:rPr>
    </w:lvl>
    <w:lvl w:ilvl="8">
      <w:start w:val="1"/>
      <w:numFmt w:val="bullet"/>
      <w:suff w:val="tab"/>
      <w:lvlText w:val=""/>
      <w:lvlJc w:val="left"/>
      <w:pPr>
        <w:pStyle w:val="176"/>
        <w:ind w:left="6480" w:hanging="356"/>
        <w:tabs>
          <w:tab w:val="left" w:pos="6480"/>
        </w:tabs>
      </w:pPr>
      <w:rPr>
        <w:rFonts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suff w:val="tab"/>
      <w:lvlText w:val=""/>
      <w:lvlJc w:val="left"/>
      <w:pPr>
        <w:pStyle w:val="176"/>
        <w:ind w:left="1428" w:hanging="356"/>
        <w:tabs>
          <w:tab w:val="left" w:pos="1428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176"/>
        <w:ind w:left="2148" w:hanging="356"/>
        <w:tabs>
          <w:tab w:val="left" w:pos="2148"/>
        </w:tabs>
      </w:pPr>
      <w:rPr>
        <w:rFonts w:ascii="Courier New" w:hAnsi="Courier New"/>
      </w:rPr>
    </w:lvl>
    <w:lvl w:ilvl="2">
      <w:start w:val="1"/>
      <w:numFmt w:val="bullet"/>
      <w:suff w:val="tab"/>
      <w:lvlText w:val=""/>
      <w:lvlJc w:val="left"/>
      <w:pPr>
        <w:pStyle w:val="176"/>
        <w:ind w:left="2868" w:hanging="356"/>
        <w:tabs>
          <w:tab w:val="left" w:pos="2868"/>
        </w:tabs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176"/>
        <w:ind w:left="3588" w:hanging="356"/>
        <w:tabs>
          <w:tab w:val="left" w:pos="3588"/>
        </w:tabs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176"/>
        <w:ind w:left="4308" w:hanging="356"/>
        <w:tabs>
          <w:tab w:val="left" w:pos="4308"/>
        </w:tabs>
      </w:pPr>
      <w:rPr>
        <w:rFonts w:ascii="Courier New" w:hAnsi="Courier New"/>
      </w:rPr>
    </w:lvl>
    <w:lvl w:ilvl="5">
      <w:start w:val="1"/>
      <w:numFmt w:val="bullet"/>
      <w:suff w:val="tab"/>
      <w:lvlText w:val=""/>
      <w:lvlJc w:val="left"/>
      <w:pPr>
        <w:pStyle w:val="176"/>
        <w:ind w:left="5028" w:hanging="356"/>
        <w:tabs>
          <w:tab w:val="left" w:pos="5028"/>
        </w:tabs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176"/>
        <w:ind w:left="5748" w:hanging="356"/>
        <w:tabs>
          <w:tab w:val="left" w:pos="5748"/>
        </w:tabs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176"/>
        <w:ind w:left="6468" w:hanging="356"/>
        <w:tabs>
          <w:tab w:val="left" w:pos="6468"/>
        </w:tabs>
      </w:pPr>
      <w:rPr>
        <w:rFonts w:ascii="Courier New" w:hAnsi="Courier New"/>
      </w:rPr>
    </w:lvl>
    <w:lvl w:ilvl="8">
      <w:start w:val="1"/>
      <w:numFmt w:val="bullet"/>
      <w:suff w:val="tab"/>
      <w:lvlText w:val=""/>
      <w:lvlJc w:val="left"/>
      <w:pPr>
        <w:pStyle w:val="176"/>
        <w:ind w:left="7188" w:hanging="356"/>
        <w:tabs>
          <w:tab w:val="left" w:pos="7188"/>
        </w:tabs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9">
    <w:name w:val="Normal"/>
    <w:qFormat/>
  </w:style>
  <w:style w:type="character" w:styleId="130" w:default="1">
    <w:name w:val="Default Paragraph Font"/>
    <w:uiPriority w:val="1"/>
    <w:semiHidden/>
    <w:unhideWhenUsed/>
  </w:style>
  <w:style w:type="numbering" w:styleId="131">
    <w:name w:val="No List"/>
    <w:uiPriority w:val="99"/>
    <w:semiHidden/>
    <w:unhideWhenUsed/>
  </w:style>
  <w:style w:type="paragraph" w:styleId="132">
    <w:name w:val="Heading 1"/>
    <w:basedOn w:val="129"/>
    <w:next w:val="129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33">
    <w:name w:val="Heading 2"/>
    <w:basedOn w:val="129"/>
    <w:next w:val="129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4">
    <w:name w:val="Heading 3"/>
    <w:basedOn w:val="129"/>
    <w:next w:val="129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35">
    <w:name w:val="Heading 4"/>
    <w:basedOn w:val="129"/>
    <w:next w:val="129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36">
    <w:name w:val="Heading 5"/>
    <w:basedOn w:val="129"/>
    <w:next w:val="129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37">
    <w:name w:val="Heading 6"/>
    <w:basedOn w:val="129"/>
    <w:next w:val="129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38">
    <w:name w:val="Heading 7"/>
    <w:basedOn w:val="129"/>
    <w:next w:val="129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39">
    <w:name w:val="Heading 8"/>
    <w:basedOn w:val="129"/>
    <w:next w:val="129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40">
    <w:name w:val="Heading 9"/>
    <w:basedOn w:val="129"/>
    <w:next w:val="129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141">
    <w:name w:val="List Paragraph"/>
    <w:basedOn w:val="129"/>
    <w:qFormat/>
    <w:uiPriority w:val="34"/>
    <w:pPr>
      <w:contextualSpacing w:val="true"/>
      <w:ind w:left="720"/>
    </w:pPr>
  </w:style>
  <w:style w:type="table" w:styleId="14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3">
    <w:name w:val="No Spacing"/>
    <w:basedOn w:val="129"/>
    <w:qFormat/>
    <w:uiPriority w:val="1"/>
    <w:rPr>
      <w:color w:val="000000"/>
    </w:rPr>
    <w:pPr>
      <w:spacing w:lineRule="auto" w:line="240" w:after="0"/>
    </w:pPr>
  </w:style>
  <w:style w:type="paragraph" w:styleId="144">
    <w:name w:val="Title"/>
    <w:basedOn w:val="129"/>
    <w:next w:val="129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145">
    <w:name w:val="Subtitle"/>
    <w:basedOn w:val="129"/>
    <w:next w:val="129"/>
    <w:qFormat/>
    <w:uiPriority w:val="11"/>
    <w:rPr>
      <w:i/>
      <w:color w:val="444444"/>
      <w:sz w:val="52"/>
    </w:rPr>
    <w:pPr>
      <w:spacing w:lineRule="auto" w:line="240"/>
    </w:pPr>
  </w:style>
  <w:style w:type="paragraph" w:styleId="146">
    <w:name w:val="Quote"/>
    <w:basedOn w:val="129"/>
    <w:next w:val="129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147">
    <w:name w:val="Intense Quote"/>
    <w:basedOn w:val="129"/>
    <w:next w:val="129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148">
    <w:name w:val="Header"/>
    <w:basedOn w:val="12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149">
    <w:name w:val="Footer"/>
    <w:basedOn w:val="129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150">
    <w:name w:val="Table Grid"/>
    <w:basedOn w:val="1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51">
    <w:name w:val="Lined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52">
    <w:name w:val="Lined - Accent 1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53">
    <w:name w:val="Lined - Accent 2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54">
    <w:name w:val="Lined - Accent 3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155">
    <w:name w:val="Lined - Accent 4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56">
    <w:name w:val="Lined - Accent 5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57">
    <w:name w:val="Lined - Accent 6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158">
    <w:name w:val="Bordered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59">
    <w:name w:val="Bordered - Accent 1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60">
    <w:name w:val="Bordered - Accent 2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161">
    <w:name w:val="Bordered - Accent 3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162">
    <w:name w:val="Bordered - Accent 4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163">
    <w:name w:val="Bordered - Accent 5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164">
    <w:name w:val="Bordered - Accent 6"/>
    <w:basedOn w:val="1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165">
    <w:name w:val="Bordered &amp; Lined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166">
    <w:name w:val="Bordered &amp; Lined - Accent 1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167">
    <w:name w:val="Bordered &amp; Lined - Accent 2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168">
    <w:name w:val="Bordered &amp; Lined - Accent 3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169">
    <w:name w:val="Bordered &amp; Lined - Accent 4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170">
    <w:name w:val="Bordered &amp; Lined - Accent 5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171">
    <w:name w:val="Bordered &amp; Lined - Accent 6"/>
    <w:basedOn w:val="1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129"/>
    <w:uiPriority w:val="99"/>
    <w:semiHidden/>
    <w:unhideWhenUsed/>
    <w:rPr>
      <w:sz w:val="20"/>
    </w:rPr>
    <w:pPr>
      <w:spacing w:lineRule="auto" w:line="240" w:after="0"/>
    </w:pPr>
  </w:style>
  <w:style w:type="character" w:styleId="174">
    <w:name w:val="Footnote Text Char"/>
    <w:basedOn w:val="130"/>
    <w:uiPriority w:val="99"/>
    <w:semiHidden/>
    <w:rPr>
      <w:sz w:val="20"/>
    </w:rPr>
  </w:style>
  <w:style w:type="character" w:styleId="175">
    <w:name w:val="footnote reference"/>
    <w:basedOn w:val="130"/>
    <w:uiPriority w:val="99"/>
    <w:semiHidden/>
    <w:unhideWhenUsed/>
    <w:rPr>
      <w:vertAlign w:val="superscript"/>
    </w:rPr>
  </w:style>
  <w:style w:type="paragraph" w:styleId="176">
    <w:name w:val="Обычный"/>
    <w:next w:val="176"/>
    <w:rPr>
      <w:sz w:val="22"/>
      <w:szCs w:val="22"/>
      <w:lang w:val="ru-RU" w:bidi="ar-SA" w:eastAsia="en-US"/>
    </w:rPr>
    <w:pPr>
      <w:spacing w:lineRule="auto" w:line="276" w:after="200"/>
    </w:pPr>
  </w:style>
  <w:style w:type="paragraph" w:styleId="177">
    <w:name w:val="Заголовок 6"/>
    <w:basedOn w:val="176"/>
    <w:next w:val="176"/>
    <w:rPr>
      <w:rFonts w:ascii="Times New Roman" w:hAnsi="Times New Roman" w:eastAsia="Times New Roman"/>
      <w:sz w:val="28"/>
      <w:szCs w:val="28"/>
      <w:lang w:eastAsia="ru-RU"/>
    </w:rPr>
    <w:pPr>
      <w:jc w:val="both"/>
      <w:keepNext/>
      <w:spacing w:lineRule="auto" w:line="360" w:after="0"/>
    </w:pPr>
  </w:style>
  <w:style w:type="paragraph" w:styleId="178">
    <w:name w:val="Заголовок 7"/>
    <w:basedOn w:val="176"/>
    <w:next w:val="176"/>
    <w:rPr>
      <w:rFonts w:ascii="Times New Roman" w:hAnsi="Times New Roman" w:eastAsia="Times New Roman"/>
      <w:b/>
      <w:bCs/>
      <w:sz w:val="28"/>
      <w:szCs w:val="28"/>
      <w:lang w:eastAsia="ru-RU"/>
    </w:rPr>
    <w:pPr>
      <w:jc w:val="both"/>
      <w:keepNext/>
      <w:spacing w:lineRule="auto" w:line="360" w:after="0"/>
    </w:pPr>
  </w:style>
  <w:style w:type="character" w:styleId="179">
    <w:name w:val="Основной шрифт абзаца"/>
    <w:next w:val="179"/>
    <w:semiHidden/>
  </w:style>
  <w:style w:type="table" w:styleId="180">
    <w:name w:val="Обычная таблица"/>
    <w:next w:val="180"/>
    <w:semiHidden/>
    <w:tblPr/>
  </w:style>
  <w:style w:type="numbering" w:styleId="181">
    <w:name w:val="Нет списка"/>
    <w:next w:val="181"/>
    <w:semiHidden/>
  </w:style>
  <w:style w:type="character" w:styleId="182">
    <w:name w:val="Заголовок 6 Знак"/>
    <w:next w:val="182"/>
    <w:rPr>
      <w:rFonts w:ascii="Times New Roman" w:hAnsi="Times New Roman" w:eastAsia="Times New Roman"/>
      <w:sz w:val="28"/>
      <w:szCs w:val="28"/>
      <w:lang w:eastAsia="ru-RU"/>
    </w:rPr>
  </w:style>
  <w:style w:type="character" w:styleId="183">
    <w:name w:val="Заголовок 7 Знак"/>
    <w:next w:val="183"/>
    <w:rPr>
      <w:rFonts w:ascii="Times New Roman" w:hAnsi="Times New Roman" w:eastAsia="Times New Roman"/>
      <w:b/>
      <w:bCs/>
      <w:sz w:val="28"/>
      <w:szCs w:val="28"/>
      <w:lang w:eastAsia="ru-RU"/>
    </w:rPr>
  </w:style>
  <w:style w:type="character" w:styleId="184">
    <w:name w:val="Font Style14"/>
    <w:next w:val="184"/>
    <w:rPr>
      <w:rFonts w:ascii="Calibri" w:hAnsi="Calibri"/>
      <w:b/>
      <w:bCs/>
      <w:sz w:val="20"/>
      <w:szCs w:val="20"/>
    </w:rPr>
  </w:style>
  <w:style w:type="character" w:styleId="185">
    <w:name w:val="Гиперссылка"/>
    <w:next w:val="185"/>
    <w:rPr>
      <w:color w:val="0000FF"/>
      <w:u w:val="single"/>
    </w:rPr>
  </w:style>
  <w:style w:type="table" w:styleId="186">
    <w:name w:val="Сетка таблицы"/>
    <w:basedOn w:val="180"/>
    <w:next w:val="186"/>
    <w:pPr>
      <w:spacing w:lineRule="auto" w:line="240" w:after="0"/>
    </w:pPr>
    <w:tblPr/>
  </w:style>
  <w:style w:type="character" w:styleId="187">
    <w:name w:val="apple-converted-space"/>
    <w:basedOn w:val="179"/>
    <w:next w:val="187"/>
  </w:style>
  <w:style w:type="character" w:styleId="188">
    <w:name w:val="Выделение"/>
    <w:next w:val="188"/>
    <w:rPr>
      <w:i/>
      <w:iCs/>
    </w:rPr>
  </w:style>
  <w:style w:type="numbering" w:styleId="189" w:default="1">
    <w:name w:val="GenStyleDefNum"/>
  </w:style>
  <w:style w:type="paragraph" w:styleId="190" w:default="1">
    <w:name w:val="GenStyleDefPar"/>
  </w:style>
  <w:style w:type="table" w:styleId="191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0.png"/></Relationships>
</file>

<file path=word/_rels/footnotes.xml.rels><?xml version="1.0" encoding="UTF-8" standalone="yes"?><Relationships xmlns="http://schemas.openxmlformats.org/package/2006/relationships"></Relationships>
</file>

<file path=word/theme/_rels/theme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3.0000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