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6"/>
      </w:pPr>
      <w:r>
        <w:t xml:space="preserve">Положение о проведении турнира по пляжному футболу среди </w:t>
      </w:r>
      <w:r>
        <w:rPr>
          <w:u w:val="none"/>
        </w:rPr>
        <w:t xml:space="preserve">детей 2005 г./</w:t>
      </w:r>
      <w:r>
        <w:rPr>
          <w:u w:val="none"/>
        </w:rPr>
        <w:t xml:space="preserve">р. </w:t>
      </w:r>
      <w:r>
        <w:rPr>
          <w:u w:val="none"/>
        </w:rPr>
        <w:t xml:space="preserve">Фиеста </w:t>
      </w:r>
      <w:r>
        <w:rPr>
          <w:u w:val="none"/>
        </w:rPr>
        <w:t xml:space="preserve">CUP  </w:t>
      </w:r>
      <w:r>
        <w:rPr>
          <w:u w:val="none"/>
        </w:rPr>
        <w:t xml:space="preserve">Kids  2018 </w:t>
      </w:r>
      <w:r>
        <w:rPr>
          <w:u w:val="none"/>
        </w:rPr>
        <w:t xml:space="preserve">г.</w:t>
      </w:r>
      <w:r/>
    </w:p>
    <w:p>
      <w:pPr>
        <w:pStyle w:val="177"/>
      </w:pPr>
      <w:r>
        <w:rPr>
          <w:u w:val="none"/>
        </w:rPr>
      </w:r>
      <w:r>
        <w:rPr>
          <w:u w:val="none"/>
        </w:rPr>
      </w:r>
      <w:r/>
    </w:p>
    <w:p>
      <w:pPr>
        <w:pStyle w:val="177"/>
      </w:pPr>
      <w:r>
        <w:rPr>
          <w:u w:val="none"/>
        </w:rPr>
        <w:t xml:space="preserve">1.Сроки и место проведения.</w:t>
      </w:r>
      <w:r/>
    </w:p>
    <w:p>
      <w:pPr>
        <w:pStyle w:val="177"/>
      </w:pPr>
      <w:r>
        <w:t xml:space="preserve">1.1. Соревнования проходят в соответствии с Правилами игры в пляжный футбол</w:t>
      </w:r>
      <w:r/>
    </w:p>
    <w:p>
      <w:pPr>
        <w:pStyle w:val="177"/>
      </w:pPr>
      <w:r>
        <w:t xml:space="preserve">1.2. Игры проводятся на специальной площадке для игры в пляжный футбол, расположенной на территории </w:t>
      </w:r>
      <w:r>
        <w:rPr>
          <w:u w:val="none"/>
        </w:rPr>
        <w:t xml:space="preserve">спортивной плошщадки Гребного конала г. Н.Новгорода</w:t>
      </w:r>
      <w:r/>
    </w:p>
    <w:p>
      <w:pPr>
        <w:pStyle w:val="177"/>
      </w:pPr>
      <w:r>
        <w:t xml:space="preserve">1.3. Сроки проведения турнира: </w:t>
      </w:r>
      <w:r>
        <w:rPr>
          <w:color w:val="FF3333"/>
          <w:u w:val="none"/>
        </w:rPr>
        <w:t xml:space="preserve">28 </w:t>
      </w:r>
      <w:r>
        <w:rPr>
          <w:color w:val="FF3333"/>
          <w:u w:val="none"/>
        </w:rPr>
        <w:t xml:space="preserve">июля </w:t>
      </w:r>
      <w:r>
        <w:rPr>
          <w:color w:val="FF3333"/>
          <w:u w:val="none"/>
        </w:rPr>
        <w:t xml:space="preserve"> 20</w:t>
      </w:r>
      <w:r>
        <w:rPr>
          <w:color w:val="FF3333"/>
          <w:u w:val="none"/>
        </w:rPr>
        <w:t xml:space="preserve">1</w:t>
      </w:r>
      <w:r>
        <w:rPr>
          <w:color w:val="FF3333"/>
          <w:u w:val="none"/>
        </w:rPr>
        <w:t xml:space="preserve">8</w:t>
      </w:r>
      <w:r>
        <w:rPr>
          <w:color w:val="FF3333"/>
          <w:u w:val="none"/>
        </w:rPr>
        <w:t xml:space="preserve"> года.</w:t>
      </w:r>
      <w:r/>
    </w:p>
    <w:p>
      <w:pPr>
        <w:pStyle w:val="177"/>
      </w:pPr>
      <w:r>
        <w:rPr>
          <w:color w:val="FF3333"/>
          <w:u w:val="none"/>
        </w:rPr>
        <w:t xml:space="preserve">2.Цели и задачи турнира.</w:t>
      </w:r>
      <w:r/>
    </w:p>
    <w:p>
      <w:pPr>
        <w:pStyle w:val="177"/>
      </w:pPr>
      <w:r>
        <w:t xml:space="preserve">2.1. Популяризация пляжного футбола среди самых разных слоев населения.</w:t>
      </w:r>
      <w:r/>
    </w:p>
    <w:p>
      <w:pPr>
        <w:pStyle w:val="177"/>
      </w:pPr>
      <w:r>
        <w:t xml:space="preserve">2.2. Пропаганда здорового образа жизни.</w:t>
      </w:r>
      <w:r/>
    </w:p>
    <w:p>
      <w:pPr>
        <w:pStyle w:val="177"/>
      </w:pPr>
      <w:r>
        <w:t xml:space="preserve">2.3. Развитие любительского спорта в </w:t>
      </w:r>
      <w:r>
        <w:rPr>
          <w:u w:val="none"/>
        </w:rPr>
        <w:t xml:space="preserve">Нижнем Новгороде</w:t>
      </w:r>
      <w:r>
        <w:t xml:space="preserve">.</w:t>
      </w:r>
      <w:r/>
    </w:p>
    <w:p>
      <w:pPr>
        <w:pStyle w:val="177"/>
      </w:pPr>
      <w:r>
        <w:t xml:space="preserve">3.Руководство и судейство турнира.</w:t>
      </w:r>
      <w:r/>
    </w:p>
    <w:p>
      <w:pPr>
        <w:pStyle w:val="177"/>
      </w:pPr>
      <w:r>
        <w:t xml:space="preserve">3.1. Общую организацию и контроль за проведением соревнований осуществля</w:t>
      </w:r>
      <w:r>
        <w:rPr>
          <w:u w:val="none"/>
        </w:rPr>
        <w:t xml:space="preserve">ю</w:t>
      </w:r>
      <w:r>
        <w:t xml:space="preserve">т </w:t>
      </w:r>
      <w:r>
        <w:rPr>
          <w:u w:val="none"/>
        </w:rPr>
        <w:t xml:space="preserve">организаторы турнира.</w:t>
      </w:r>
      <w:r/>
    </w:p>
    <w:p>
      <w:pPr>
        <w:pStyle w:val="177"/>
      </w:pPr>
      <w:r>
        <w:t xml:space="preserve">3.2. Непосредственную организацию и проведение соревнований осуществляет оргкомитет турнира.</w:t>
      </w:r>
      <w:r/>
    </w:p>
    <w:p>
      <w:pPr>
        <w:pStyle w:val="177"/>
      </w:pPr>
      <w:r>
        <w:t xml:space="preserve">3.3. Судейство на турнире обеспечивает </w:t>
      </w:r>
      <w:r>
        <w:rPr>
          <w:u w:val="none"/>
        </w:rPr>
        <w:t xml:space="preserve">оргкомитет.</w:t>
      </w:r>
      <w:r/>
    </w:p>
    <w:p>
      <w:pPr>
        <w:pStyle w:val="177"/>
      </w:pPr>
      <w:r>
        <w:rPr>
          <w:u w:val="none"/>
        </w:rPr>
        <w:t xml:space="preserve">4.Схема проведения турнира.</w:t>
      </w:r>
      <w:r/>
    </w:p>
    <w:p>
      <w:pPr>
        <w:pStyle w:val="177"/>
      </w:pPr>
      <w:r>
        <w:t xml:space="preserve">4.1. В турнире участвуют </w:t>
      </w:r>
      <w:r>
        <w:rPr>
          <w:color w:val="FF0000"/>
          <w:u w:val="none"/>
        </w:rPr>
        <w:t xml:space="preserve">8</w:t>
      </w:r>
      <w:r>
        <w:t xml:space="preserve"> команд. На первом этапе все команды будут объеденены в одну группу.</w:t>
      </w:r>
      <w:r/>
    </w:p>
    <w:p>
      <w:pPr>
        <w:pStyle w:val="177"/>
      </w:pPr>
      <w:r>
        <w:t xml:space="preserve">4.2. Игры в группе проводятся в один круг. За победу начисляется 3 очка, </w:t>
      </w:r>
      <w:r>
        <w:rPr>
          <w:color w:val="FF0000"/>
          <w:u w:val="none"/>
        </w:rPr>
        <w:t xml:space="preserve">за победу в дополнительное время или по пенальти - 2 очка</w:t>
      </w:r>
      <w:r>
        <w:t xml:space="preserve">, за поражение - 0.</w:t>
      </w:r>
      <w:r/>
    </w:p>
    <w:p>
      <w:pPr>
        <w:pStyle w:val="177"/>
      </w:pPr>
      <w:r>
        <w:t xml:space="preserve">4.3. Критерии распределения мест в турнирной таблице:</w:t>
      </w:r>
      <w:r/>
    </w:p>
    <w:p>
      <w:pPr>
        <w:pStyle w:val="177"/>
        <w:numPr>
          <w:ilvl w:val="0"/>
          <w:numId w:val="1"/>
        </w:numPr>
        <w:spacing w:after="0" w:before="0"/>
      </w:pPr>
      <w:r>
        <w:t xml:space="preserve">Набранные очки. </w:t>
      </w:r>
      <w:r/>
    </w:p>
    <w:p>
      <w:pPr>
        <w:pStyle w:val="177"/>
        <w:numPr>
          <w:ilvl w:val="0"/>
          <w:numId w:val="1"/>
        </w:numPr>
        <w:spacing w:after="0" w:before="0"/>
      </w:pPr>
      <w:r>
        <w:t xml:space="preserve">Личные встречи </w:t>
      </w:r>
      <w:r/>
    </w:p>
    <w:p>
      <w:pPr>
        <w:pStyle w:val="177"/>
        <w:numPr>
          <w:ilvl w:val="0"/>
          <w:numId w:val="1"/>
        </w:numPr>
        <w:spacing w:after="0" w:before="0"/>
      </w:pPr>
      <w:r>
        <w:t xml:space="preserve">Разница забитых и пропущенных мячей в турнире </w:t>
      </w:r>
      <w:r/>
    </w:p>
    <w:p>
      <w:pPr>
        <w:pStyle w:val="177"/>
        <w:numPr>
          <w:ilvl w:val="0"/>
          <w:numId w:val="1"/>
        </w:numPr>
        <w:spacing w:after="0" w:before="0"/>
      </w:pPr>
      <w:r>
        <w:t xml:space="preserve">Количество забитых мячей </w:t>
      </w:r>
      <w:r/>
    </w:p>
    <w:p>
      <w:pPr>
        <w:pStyle w:val="177"/>
        <w:spacing w:after="0" w:before="0"/>
        <w:rPr>
          <w:color w:val="FF0000"/>
        </w:rPr>
      </w:pPr>
      <w:r>
        <w:rPr>
          <w:color w:val="FF0000"/>
          <w:u w:val="none"/>
        </w:rPr>
      </w:r>
      <w:r>
        <w:rPr>
          <w:color w:val="FF0000"/>
          <w:u w:val="none"/>
        </w:rPr>
      </w:r>
      <w:r/>
    </w:p>
    <w:p>
      <w:pPr>
        <w:pStyle w:val="177"/>
      </w:pPr>
      <w:r>
        <w:t xml:space="preserve">4.4. После проведения кругового турнира проводится финальная часть соревнований по системе «плей-офф». Команды, занявшие места с 1 по 4, участвуют в розыгрыше  Кубка "</w:t>
      </w:r>
      <w:r>
        <w:rPr>
          <w:u w:val="none"/>
        </w:rPr>
        <w:t xml:space="preserve">Фитнес Фиесты</w:t>
      </w:r>
      <w:r>
        <w:t xml:space="preserve">". Команды, занявшие места с 5 по 8, участвуют в "утешительном" розыгрыше.</w:t>
      </w:r>
      <w:r/>
    </w:p>
    <w:p>
      <w:pPr>
        <w:pStyle w:val="177"/>
      </w:pPr>
      <w:r>
        <w:t xml:space="preserve">4.5. Порядок формирования пар в «плей-офф».</w:t>
      </w:r>
      <w:r/>
    </w:p>
    <w:p>
      <w:pPr>
        <w:pStyle w:val="177"/>
        <w:numPr>
          <w:ilvl w:val="0"/>
          <w:numId w:val="2"/>
        </w:numPr>
        <w:spacing w:after="0" w:before="0"/>
      </w:pPr>
      <w:r>
        <w:t xml:space="preserve">При розыгрыше мест с первое по четвертое: 1 - 4, 2 - 3; </w:t>
      </w:r>
      <w:r/>
    </w:p>
    <w:p>
      <w:pPr>
        <w:pStyle w:val="177"/>
        <w:numPr>
          <w:ilvl w:val="0"/>
          <w:numId w:val="2"/>
        </w:numPr>
      </w:pPr>
      <w:r>
        <w:t xml:space="preserve">При розыгрыше мест с пятое по восьмое: 5 - 8, 6 - 7. </w:t>
      </w:r>
      <w:r/>
    </w:p>
    <w:p>
      <w:pPr>
        <w:pStyle w:val="177"/>
      </w:pPr>
      <w:r>
        <w:t xml:space="preserve">4.6. Команды, проигравшие в «плей-офф», продолжают участие в "утешительных" играх по кубковой системе до полного распределения мест.</w:t>
      </w:r>
      <w:r/>
    </w:p>
    <w:p>
      <w:pPr>
        <w:pStyle w:val="177"/>
      </w:pPr>
      <w:r/>
      <w:r/>
    </w:p>
    <w:p>
      <w:pPr>
        <w:pStyle w:val="177"/>
      </w:pPr>
      <w:r>
        <w:t xml:space="preserve">5.Правила игры.</w:t>
      </w:r>
      <w:r/>
    </w:p>
    <w:p>
      <w:pPr>
        <w:pStyle w:val="177"/>
      </w:pPr>
      <w:r>
        <w:t xml:space="preserve">5.1. Игры проводятся по упрощенным правилам пляжного футбола</w:t>
      </w:r>
      <w:r>
        <w:rPr>
          <w:color w:val="800000"/>
          <w:u w:val="none"/>
          <w:shd w:val="clear" w:color="auto" w:fill="FF6600"/>
        </w:rPr>
        <w:t xml:space="preserve"> (</w:t>
      </w:r>
      <w:r>
        <w:rPr>
          <w:color w:val="800000"/>
          <w:u w:val="none"/>
          <w:shd w:val="clear" w:color="auto" w:fill="FF6600"/>
        </w:rPr>
        <w:t xml:space="preserve">два</w:t>
      </w:r>
      <w:r>
        <w:rPr>
          <w:color w:val="800000"/>
          <w:u w:val="none"/>
          <w:shd w:val="clear" w:color="auto" w:fill="FF6600"/>
        </w:rPr>
        <w:t xml:space="preserve"> тайма по </w:t>
      </w:r>
      <w:r>
        <w:rPr>
          <w:color w:val="800000"/>
          <w:u w:val="none"/>
          <w:shd w:val="clear" w:color="auto" w:fill="FF6600"/>
        </w:rPr>
        <w:t xml:space="preserve">7</w:t>
      </w:r>
      <w:r>
        <w:rPr>
          <w:color w:val="800000"/>
          <w:u w:val="none"/>
          <w:shd w:val="clear" w:color="auto" w:fill="FF6600"/>
        </w:rPr>
        <w:t xml:space="preserve"> минут «грязного» времени).</w:t>
      </w:r>
      <w:r/>
    </w:p>
    <w:p>
      <w:pPr>
        <w:pStyle w:val="177"/>
      </w:pPr>
      <w:r>
        <w:t xml:space="preserve">5.2. В заявочный лист команды могут быть включены не более </w:t>
      </w:r>
      <w:r>
        <w:rPr>
          <w:u w:val="none"/>
        </w:rPr>
        <w:t xml:space="preserve">7</w:t>
      </w:r>
      <w:r>
        <w:t xml:space="preserve"> футболистов, в заявке на игру  не более</w:t>
      </w:r>
      <w:r>
        <w:rPr>
          <w:color w:val="800000"/>
          <w:u w:val="none"/>
          <w:shd w:val="clear" w:color="auto" w:fill="FF6600"/>
        </w:rPr>
        <w:t xml:space="preserve">10</w:t>
      </w:r>
      <w:r>
        <w:rPr>
          <w:color w:val="800000"/>
          <w:u w:val="none"/>
          <w:shd w:val="clear" w:color="auto" w:fill="FF6600"/>
        </w:rPr>
        <w:t xml:space="preserve">. </w:t>
      </w:r>
      <w:r>
        <w:t xml:space="preserve">Дозаявки </w:t>
      </w:r>
      <w:r>
        <w:rPr>
          <w:u w:val="none"/>
        </w:rPr>
        <w:t xml:space="preserve">не </w:t>
      </w:r>
      <w:r>
        <w:t xml:space="preserve">разрешаются. </w:t>
      </w:r>
      <w:r/>
    </w:p>
    <w:p>
      <w:pPr>
        <w:pStyle w:val="177"/>
      </w:pPr>
      <w:r>
        <w:rPr>
          <w:u w:val="none"/>
        </w:rPr>
        <w:t xml:space="preserve">6.Участники турнира.</w:t>
      </w:r>
      <w:r/>
    </w:p>
    <w:p>
      <w:pPr>
        <w:pStyle w:val="177"/>
      </w:pPr>
      <w:r>
        <w:t xml:space="preserve">6.1. Принять участие в турнире может любая команда </w:t>
      </w:r>
      <w:r>
        <w:t xml:space="preserve">2005 </w:t>
      </w:r>
      <w:r>
        <w:rPr>
          <w:u w:val="none"/>
        </w:rPr>
        <w:t xml:space="preserve">г / р </w:t>
      </w:r>
      <w:r>
        <w:t xml:space="preserve">, согласная с настоящим Положением и </w:t>
      </w:r>
      <w:r>
        <w:rPr>
          <w:u w:val="none"/>
        </w:rPr>
        <w:t xml:space="preserve">заполневшая заявку на участие до </w:t>
      </w:r>
      <w:r>
        <w:rPr>
          <w:u w:val="none"/>
        </w:rPr>
        <w:t xml:space="preserve">23 июля</w:t>
      </w:r>
      <w:r>
        <w:rPr>
          <w:u w:val="none"/>
          <w:shd w:val="clear" w:color="auto" w:fill="FF6600"/>
        </w:rPr>
        <w:t xml:space="preserve">2018 г.</w:t>
      </w:r>
      <w:r/>
    </w:p>
    <w:p>
      <w:pPr>
        <w:pStyle w:val="177"/>
      </w:pPr>
      <w:r>
        <w:t xml:space="preserve">6.2. Все игроки должны быть </w:t>
      </w:r>
      <w:r>
        <w:rPr>
          <w:u w:val="none"/>
        </w:rPr>
        <w:t xml:space="preserve">2005 г/</w:t>
      </w:r>
      <w:r>
        <w:rPr>
          <w:u w:val="none"/>
        </w:rPr>
        <w:t xml:space="preserve">р</w:t>
      </w:r>
      <w:r>
        <w:rPr>
          <w:u w:val="none"/>
        </w:rPr>
        <w:t xml:space="preserve">.</w:t>
      </w:r>
      <w:r/>
    </w:p>
    <w:p>
      <w:pPr>
        <w:pStyle w:val="177"/>
      </w:pPr>
      <w:r>
        <w:t xml:space="preserve">6.3. К участию в турнире не допускаются лица </w:t>
      </w:r>
      <w:r>
        <w:rPr>
          <w:u w:val="none"/>
        </w:rPr>
        <w:t xml:space="preserve">старше 2005г.</w:t>
      </w:r>
      <w:r/>
    </w:p>
    <w:p>
      <w:pPr>
        <w:pStyle w:val="177"/>
      </w:pPr>
      <w:r>
        <w:rPr>
          <w:u w:val="none"/>
        </w:rPr>
        <w:t xml:space="preserve">6.</w:t>
      </w:r>
      <w:r>
        <w:rPr>
          <w:u w:val="none"/>
        </w:rPr>
        <w:t xml:space="preserve">4. </w:t>
      </w:r>
      <w:r>
        <w:rPr>
          <w:u w:val="none"/>
          <w:shd w:val="clear" w:color="auto" w:fill="FF6600"/>
        </w:rPr>
        <w:t xml:space="preserve">Команда принимающая участие в турнире обязана быть в клубной форме.</w:t>
      </w:r>
      <w:r/>
    </w:p>
    <w:p>
      <w:pPr>
        <w:pStyle w:val="177"/>
      </w:pPr>
      <w:r>
        <w:rPr>
          <w:u w:val="none"/>
          <w:shd w:val="clear" w:color="auto" w:fill="FF6600"/>
        </w:rPr>
      </w:r>
      <w:r>
        <w:rPr>
          <w:u w:val="none"/>
          <w:shd w:val="clear" w:color="auto" w:fill="FF6600"/>
        </w:rPr>
      </w:r>
      <w:r/>
    </w:p>
    <w:p>
      <w:pPr>
        <w:pStyle w:val="177"/>
      </w:pPr>
      <w:r>
        <w:rPr>
          <w:u w:val="none"/>
          <w:shd w:val="clear" w:color="auto" w:fill="FF6600"/>
        </w:rPr>
        <w:t xml:space="preserve">7.Дисциплинарный кодекс.</w:t>
      </w:r>
      <w:r/>
    </w:p>
    <w:p>
      <w:pPr>
        <w:pStyle w:val="177"/>
      </w:pPr>
      <w:r>
        <w:t xml:space="preserve">7.1. За нарушение регламента соревнований команде засчитывается поражение 0:10.</w:t>
      </w:r>
      <w:r/>
    </w:p>
    <w:p>
      <w:pPr>
        <w:pStyle w:val="177"/>
      </w:pPr>
      <w:r>
        <w:t xml:space="preserve">7.2. За неоднократные грубые нарушения регламента турнира Оргкомитет оставляет за собой право снимать с розыгрыша команды на любой стадии соревнований.</w:t>
      </w:r>
      <w:r/>
    </w:p>
    <w:p>
      <w:pPr>
        <w:pStyle w:val="177"/>
      </w:pPr>
      <w:r>
        <w:t xml:space="preserve">7.3. Футбольные команды несут ответственность за поведение своих футболистов, официальных лиц, зрителей.</w:t>
      </w:r>
      <w:r/>
    </w:p>
    <w:p>
      <w:pPr>
        <w:pStyle w:val="177"/>
      </w:pPr>
      <w:r>
        <w:t xml:space="preserve">7.</w:t>
      </w:r>
      <w:r>
        <w:t xml:space="preserve">4</w:t>
      </w:r>
      <w:r>
        <w:t xml:space="preserve">. За некорректное поведение во время матча по отношению к соперникам или арбитру следует удаление до конца </w:t>
      </w:r>
      <w:r>
        <w:rPr>
          <w:u w:val="none"/>
        </w:rPr>
        <w:t xml:space="preserve">турнира </w:t>
      </w:r>
      <w:r>
        <w:t xml:space="preserve">, дисквалификация .За оскорбление соперников или арбитра по окончании матча, следует дисквалификация .</w:t>
      </w:r>
      <w:r/>
    </w:p>
    <w:p>
      <w:pPr>
        <w:pStyle w:val="177"/>
      </w:pPr>
      <w:r>
        <w:t xml:space="preserve">7.</w:t>
      </w:r>
      <w:r>
        <w:t xml:space="preserve">5</w:t>
      </w:r>
      <w:r>
        <w:t xml:space="preserve">. В случае неявки команды на игру ей засчитывается поражение 0:10.</w:t>
      </w:r>
      <w:r/>
    </w:p>
    <w:p>
      <w:pPr>
        <w:pStyle w:val="177"/>
      </w:pPr>
      <w:r>
        <w:t xml:space="preserve">7.</w:t>
      </w:r>
      <w:r>
        <w:t xml:space="preserve">6</w:t>
      </w:r>
      <w:r>
        <w:t xml:space="preserve">. Перенос игр,</w:t>
      </w:r>
      <w:r>
        <w:rPr>
          <w:u w:val="none"/>
        </w:rPr>
        <w:t xml:space="preserve"> </w:t>
      </w:r>
      <w:r>
        <w:rPr>
          <w:u w:val="none"/>
        </w:rPr>
        <w:t xml:space="preserve">времени и места </w:t>
      </w:r>
      <w:r>
        <w:t xml:space="preserve">может быть осуществлен по согласованию с организаторами и соперниками не позднее, чем за 5 дней до игры.</w:t>
      </w:r>
      <w:r/>
    </w:p>
    <w:p>
      <w:pPr>
        <w:pStyle w:val="177"/>
      </w:pPr>
      <w:r>
        <w:rPr>
          <w:u w:val="none"/>
        </w:rPr>
        <w:t xml:space="preserve">8. Финансовые условия участия команд в соревнованиях.</w:t>
      </w:r>
      <w:r/>
    </w:p>
    <w:p>
      <w:pPr>
        <w:pStyle w:val="177"/>
      </w:pPr>
      <w:r/>
      <w:r/>
    </w:p>
    <w:p>
      <w:pPr>
        <w:pStyle w:val="177"/>
      </w:pPr>
      <w:r>
        <w:rPr>
          <w:u w:val="none"/>
        </w:rPr>
        <w:t xml:space="preserve">9. Награждение.</w:t>
      </w:r>
      <w:r/>
    </w:p>
    <w:p>
      <w:pPr>
        <w:pStyle w:val="177"/>
      </w:pPr>
      <w:r>
        <w:t xml:space="preserve">9.1. Победитель турнира награждается Кубком, </w:t>
      </w:r>
      <w:r>
        <w:rPr>
          <w:u w:val="none"/>
        </w:rPr>
        <w:t xml:space="preserve">медалями, грамотами и </w:t>
      </w:r>
      <w:r>
        <w:t xml:space="preserve">ценными призами.</w:t>
      </w:r>
      <w:r/>
    </w:p>
    <w:p>
      <w:pPr>
        <w:pStyle w:val="177"/>
      </w:pPr>
      <w:r>
        <w:t xml:space="preserve">9.2. Команды, занявшие места </w:t>
      </w:r>
      <w:r>
        <w:rPr>
          <w:u w:val="none"/>
        </w:rPr>
        <w:t xml:space="preserve">второе и третье,</w:t>
      </w:r>
      <w:r>
        <w:t xml:space="preserve"> награждаются </w:t>
      </w:r>
      <w:r>
        <w:rPr>
          <w:u w:val="none"/>
        </w:rPr>
        <w:t xml:space="preserve">медалями , грамотами и </w:t>
      </w:r>
      <w:r>
        <w:t xml:space="preserve">ценными призами.</w:t>
      </w:r>
      <w:r/>
    </w:p>
    <w:p>
      <w:pPr>
        <w:pStyle w:val="177"/>
      </w:pPr>
      <w:r>
        <w:t xml:space="preserve">9.</w:t>
      </w:r>
      <w:r>
        <w:rPr>
          <w:u w:val="none"/>
        </w:rPr>
        <w:t xml:space="preserve">3</w:t>
      </w:r>
      <w:r>
        <w:t xml:space="preserve">. Команды, занявшие места </w:t>
      </w:r>
      <w:r>
        <w:rPr>
          <w:u w:val="none"/>
        </w:rPr>
        <w:t xml:space="preserve">с четвёртого по восьмое,</w:t>
      </w:r>
      <w:r>
        <w:rPr>
          <w:u w:val="none"/>
        </w:rPr>
        <w:t xml:space="preserve"> награждаются грамотами.</w:t>
      </w:r>
      <w:r/>
    </w:p>
    <w:p>
      <w:pPr>
        <w:pStyle w:val="178"/>
      </w:pPr>
      <w:r/>
      <w:r/>
    </w:p>
    <w:p>
      <w:pPr>
        <w:pStyle w:val="178"/>
      </w:pPr>
      <w:r/>
      <w:r/>
    </w:p>
    <w:p>
      <w:pPr>
        <w:pStyle w:val="178"/>
      </w:pPr>
      <w:r>
        <w:t xml:space="preserve"> </w:t>
      </w:r>
      <w:r/>
    </w:p>
    <w:p>
      <w:pPr>
        <w:pStyle w:val="178"/>
      </w:pPr>
      <w:r/>
      <w:r/>
    </w:p>
    <w:p>
      <w:pPr>
        <w:ind w:left="0" w:right="0" w:hanging="0"/>
        <w:spacing w:after="75" w:before="0"/>
        <w:shd w:val="clear" w:color="auto" w:fill="FFFFFF"/>
        <w:rPr>
          <w:rFonts w:ascii="Arial" w:hAnsi="Arial" w:cs="Arial" w:eastAsia="Arial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u w:val="none"/>
        </w:rPr>
        <w:t xml:space="preserve">Подробн</w:t>
      </w:r>
      <w:r>
        <w:rPr>
          <w:sz w:val="22"/>
          <w:u w:val="none"/>
        </w:rPr>
        <w:t xml:space="preserve">ая иформация</w:t>
      </w:r>
      <w:r>
        <w:rPr>
          <w:sz w:val="22"/>
          <w:u w:val="none"/>
        </w:rPr>
        <w:t xml:space="preserve">:</w:t>
      </w:r>
      <w:r>
        <w:rPr>
          <w:sz w:val="22"/>
          <w:u w:val="none"/>
        </w:rPr>
        <w:t xml:space="preserve"> 8 920 052 17 00  Потапенко Юрий Олегович</w:t>
      </w:r>
      <w:r>
        <w:rPr>
          <w:sz w:val="22"/>
          <w:u w:val="none"/>
          <w:lang w:val="ru-RU"/>
        </w:rPr>
        <w:t xml:space="preserve">, </w:t>
      </w:r>
      <w:r>
        <w:rPr>
          <w:rFonts w:ascii="Arial" w:hAnsi="Arial" w:cs="Arial" w:eastAsia="Arial"/>
          <w:color w:val="000000" w:themeColor="text1"/>
          <w:sz w:val="22"/>
        </w:rPr>
        <w:t xml:space="preserve">potapenko.gf@mail.ru</w:t>
      </w:r>
      <w:r/>
    </w:p>
    <w:p>
      <w:pPr>
        <w:pStyle w:val="178"/>
      </w:pPr>
      <w:r/>
    </w:p>
    <w:p>
      <w:pPr>
        <w:pStyle w:val="178"/>
      </w:pPr>
      <w:r>
        <w:rPr>
          <w:u w:val="none"/>
        </w:rPr>
      </w:r>
      <w:r>
        <w:rPr>
          <w:u w:val="none"/>
        </w:rPr>
      </w:r>
      <w:r/>
    </w:p>
    <w:p>
      <w:pPr>
        <w:pStyle w:val="178"/>
      </w:pPr>
      <w:r>
        <w:rPr>
          <w:u w:val="none"/>
        </w:rPr>
      </w:r>
      <w:r>
        <w:rPr>
          <w:u w:val="none"/>
        </w:rPr>
      </w:r>
      <w:r/>
    </w:p>
    <w:p>
      <w:pPr>
        <w:pStyle w:val="178"/>
      </w:pPr>
      <w:r>
        <w:rPr>
          <w:u w:val="none"/>
        </w:rPr>
      </w:r>
      <w:r>
        <w:rPr>
          <w:u w:val="none"/>
        </w:rPr>
      </w:r>
      <w:r/>
    </w:p>
    <w:p>
      <w:r/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Liberation Serif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7" w:hanging="278"/>
      </w:pPr>
    </w:lvl>
    <w:lvl w:ilvl="1">
      <w:start w:val="1"/>
      <w:numFmt w:val="decimal"/>
      <w:suff w:val="tab"/>
      <w:lvlText w:val="%2."/>
      <w:lvlJc w:val="left"/>
      <w:pPr>
        <w:ind w:left="1414" w:hanging="278"/>
      </w:pPr>
    </w:lvl>
    <w:lvl w:ilvl="2">
      <w:start w:val="1"/>
      <w:numFmt w:val="decimal"/>
      <w:suff w:val="tab"/>
      <w:lvlText w:val="%3."/>
      <w:lvlJc w:val="left"/>
      <w:pPr>
        <w:ind w:left="2121" w:hanging="278"/>
      </w:pPr>
    </w:lvl>
    <w:lvl w:ilvl="3">
      <w:start w:val="1"/>
      <w:numFmt w:val="decimal"/>
      <w:suff w:val="tab"/>
      <w:lvlText w:val="%4."/>
      <w:lvlJc w:val="left"/>
      <w:pPr>
        <w:ind w:left="2828" w:hanging="278"/>
      </w:pPr>
    </w:lvl>
    <w:lvl w:ilvl="4">
      <w:start w:val="1"/>
      <w:numFmt w:val="decimal"/>
      <w:suff w:val="tab"/>
      <w:lvlText w:val="%5."/>
      <w:lvlJc w:val="left"/>
      <w:pPr>
        <w:ind w:left="3535" w:hanging="278"/>
      </w:pPr>
    </w:lvl>
    <w:lvl w:ilvl="5">
      <w:start w:val="1"/>
      <w:numFmt w:val="decimal"/>
      <w:suff w:val="tab"/>
      <w:lvlText w:val="%6."/>
      <w:lvlJc w:val="left"/>
      <w:pPr>
        <w:ind w:left="4241" w:hanging="278"/>
      </w:pPr>
    </w:lvl>
    <w:lvl w:ilvl="6">
      <w:start w:val="1"/>
      <w:numFmt w:val="decimal"/>
      <w:suff w:val="tab"/>
      <w:lvlText w:val="%7."/>
      <w:lvlJc w:val="left"/>
      <w:pPr>
        <w:ind w:left="4948" w:hanging="278"/>
      </w:pPr>
    </w:lvl>
    <w:lvl w:ilvl="7">
      <w:start w:val="1"/>
      <w:numFmt w:val="decimal"/>
      <w:suff w:val="tab"/>
      <w:lvlText w:val="%8."/>
      <w:lvlJc w:val="left"/>
      <w:pPr>
        <w:ind w:left="5656" w:hanging="278"/>
      </w:pPr>
    </w:lvl>
    <w:lvl w:ilvl="8">
      <w:start w:val="1"/>
      <w:numFmt w:val="decimal"/>
      <w:suff w:val="tab"/>
      <w:lvlText w:val="%9."/>
      <w:lvlJc w:val="left"/>
      <w:pPr>
        <w:ind w:left="6361" w:hanging="2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07" w:hanging="278"/>
      </w:pPr>
    </w:lvl>
    <w:lvl w:ilvl="1">
      <w:start w:val="1"/>
      <w:numFmt w:val="decimal"/>
      <w:suff w:val="tab"/>
      <w:lvlText w:val="%2."/>
      <w:lvlJc w:val="left"/>
      <w:pPr>
        <w:ind w:left="1414" w:hanging="278"/>
      </w:pPr>
    </w:lvl>
    <w:lvl w:ilvl="2">
      <w:start w:val="1"/>
      <w:numFmt w:val="decimal"/>
      <w:suff w:val="tab"/>
      <w:lvlText w:val="%3."/>
      <w:lvlJc w:val="left"/>
      <w:pPr>
        <w:ind w:left="2121" w:hanging="278"/>
      </w:pPr>
    </w:lvl>
    <w:lvl w:ilvl="3">
      <w:start w:val="1"/>
      <w:numFmt w:val="decimal"/>
      <w:suff w:val="tab"/>
      <w:lvlText w:val="%4."/>
      <w:lvlJc w:val="left"/>
      <w:pPr>
        <w:ind w:left="2828" w:hanging="278"/>
      </w:pPr>
    </w:lvl>
    <w:lvl w:ilvl="4">
      <w:start w:val="1"/>
      <w:numFmt w:val="decimal"/>
      <w:suff w:val="tab"/>
      <w:lvlText w:val="%5."/>
      <w:lvlJc w:val="left"/>
      <w:pPr>
        <w:ind w:left="3535" w:hanging="278"/>
      </w:pPr>
    </w:lvl>
    <w:lvl w:ilvl="5">
      <w:start w:val="1"/>
      <w:numFmt w:val="decimal"/>
      <w:suff w:val="tab"/>
      <w:lvlText w:val="%6."/>
      <w:lvlJc w:val="left"/>
      <w:pPr>
        <w:ind w:left="4241" w:hanging="278"/>
      </w:pPr>
    </w:lvl>
    <w:lvl w:ilvl="6">
      <w:start w:val="1"/>
      <w:numFmt w:val="decimal"/>
      <w:suff w:val="tab"/>
      <w:lvlText w:val="%7."/>
      <w:lvlJc w:val="left"/>
      <w:pPr>
        <w:ind w:left="4948" w:hanging="278"/>
      </w:pPr>
    </w:lvl>
    <w:lvl w:ilvl="7">
      <w:start w:val="1"/>
      <w:numFmt w:val="decimal"/>
      <w:suff w:val="tab"/>
      <w:lvlText w:val="%8."/>
      <w:lvlJc w:val="left"/>
      <w:pPr>
        <w:ind w:left="5656" w:hanging="278"/>
      </w:pPr>
    </w:lvl>
    <w:lvl w:ilvl="8">
      <w:start w:val="1"/>
      <w:numFmt w:val="decimal"/>
      <w:suff w:val="tab"/>
      <w:lvlText w:val="%9."/>
      <w:lvlJc w:val="left"/>
      <w:pPr>
        <w:ind w:left="6361" w:hanging="2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9" w:default="1">
    <w:name w:val="Default Paragraph Font"/>
    <w:uiPriority w:val="1"/>
    <w:semiHidden/>
    <w:unhideWhenUsed/>
  </w:style>
  <w:style w:type="table" w:styleId="130">
    <w:name w:val="Table Grid"/>
    <w:basedOn w:val="1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1">
    <w:name w:val="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32">
    <w:name w:val="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33">
    <w:name w:val="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34">
    <w:name w:val="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35">
    <w:name w:val="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36">
    <w:name w:val="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37">
    <w:name w:val="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38">
    <w:name w:val="Bordered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39">
    <w:name w:val="Bordered - Accent 1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40">
    <w:name w:val="Bordered - Accent 2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41">
    <w:name w:val="Bordered - Accent 3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42">
    <w:name w:val="Bordered - Accent 4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43">
    <w:name w:val="Bordered - Accent 5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44">
    <w:name w:val="Bordered - Accent 6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45">
    <w:name w:val="Bordered &amp; 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46">
    <w:name w:val="Bordered &amp; 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47">
    <w:name w:val="Bordered &amp; 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48">
    <w:name w:val="Bordered &amp; 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49">
    <w:name w:val="Bordered &amp; 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0">
    <w:name w:val="Bordered &amp; 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1">
    <w:name w:val="Bordered &amp; 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52">
    <w:name w:val="Hyperlink"/>
    <w:uiPriority w:val="99"/>
    <w:unhideWhenUsed/>
    <w:rPr>
      <w:color w:val="0000FF" w:themeColor="hyperlink"/>
      <w:u w:val="single"/>
    </w:rPr>
  </w:style>
  <w:style w:type="paragraph" w:styleId="153">
    <w:name w:val="footnote text"/>
    <w:basedOn w:val="156"/>
    <w:uiPriority w:val="99"/>
    <w:semiHidden/>
    <w:unhideWhenUsed/>
    <w:rPr>
      <w:sz w:val="20"/>
    </w:rPr>
    <w:pPr>
      <w:spacing w:lineRule="auto" w:line="240" w:after="0"/>
    </w:pPr>
  </w:style>
  <w:style w:type="character" w:styleId="154">
    <w:name w:val="Footnote Text Char"/>
    <w:basedOn w:val="129"/>
    <w:uiPriority w:val="99"/>
    <w:semiHidden/>
    <w:rPr>
      <w:sz w:val="20"/>
    </w:rPr>
  </w:style>
  <w:style w:type="character" w:styleId="155">
    <w:name w:val="footnote reference"/>
    <w:basedOn w:val="129"/>
    <w:uiPriority w:val="99"/>
    <w:semiHidden/>
    <w:unhideWhenUsed/>
    <w:rPr>
      <w:vertAlign w:val="superscript"/>
    </w:rPr>
  </w:style>
  <w:style w:type="paragraph" w:styleId="156" w:default="1">
    <w:name w:val="Normal"/>
    <w:qFormat/>
  </w:style>
  <w:style w:type="paragraph" w:styleId="157">
    <w:name w:val="Heading 1"/>
    <w:basedOn w:val="156"/>
    <w:next w:val="156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58">
    <w:name w:val="Heading 2"/>
    <w:basedOn w:val="156"/>
    <w:next w:val="156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59">
    <w:name w:val="Heading 3"/>
    <w:basedOn w:val="156"/>
    <w:next w:val="156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60">
    <w:name w:val="Heading 4"/>
    <w:basedOn w:val="156"/>
    <w:next w:val="156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61">
    <w:name w:val="Heading 5"/>
    <w:basedOn w:val="156"/>
    <w:next w:val="156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2">
    <w:name w:val="Heading 6"/>
    <w:basedOn w:val="156"/>
    <w:next w:val="15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63">
    <w:name w:val="Heading 7"/>
    <w:basedOn w:val="156"/>
    <w:next w:val="156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64">
    <w:name w:val="Heading 8"/>
    <w:basedOn w:val="156"/>
    <w:next w:val="156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65">
    <w:name w:val="Heading 9"/>
    <w:basedOn w:val="156"/>
    <w:next w:val="156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7" w:default="1">
    <w:name w:val="No List"/>
    <w:uiPriority w:val="99"/>
    <w:semiHidden/>
    <w:unhideWhenUsed/>
  </w:style>
  <w:style w:type="paragraph" w:styleId="168">
    <w:name w:val="Footer"/>
    <w:basedOn w:val="156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69">
    <w:name w:val="Header"/>
    <w:basedOn w:val="156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70">
    <w:name w:val="No Spacing"/>
    <w:qFormat/>
    <w:uiPriority w:val="1"/>
    <w:pPr>
      <w:spacing w:lineRule="auto" w:line="240" w:after="0"/>
    </w:pPr>
  </w:style>
  <w:style w:type="paragraph" w:styleId="171">
    <w:name w:val="Quote"/>
    <w:basedOn w:val="156"/>
    <w:next w:val="156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2">
    <w:name w:val="Subtitle"/>
    <w:basedOn w:val="156"/>
    <w:next w:val="156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73">
    <w:name w:val="Intense Quote"/>
    <w:basedOn w:val="156"/>
    <w:next w:val="156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4">
    <w:name w:val="Title"/>
    <w:basedOn w:val="156"/>
    <w:next w:val="156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75">
    <w:name w:val="List Paragraph"/>
    <w:basedOn w:val="156"/>
    <w:qFormat/>
    <w:uiPriority w:val="34"/>
    <w:pPr>
      <w:contextualSpacing w:val="true"/>
      <w:ind w:left="720"/>
    </w:pPr>
  </w:style>
  <w:style w:type="paragraph" w:styleId="176">
    <w:name w:val="141"/>
    <w:rPr>
      <w:rFonts w:ascii="Liberation Serif" w:hAnsi="Liberation Serif" w:cs="Liberation Serif" w:eastAsia="Arial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48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120" w:afterAutospacing="0" w:before="24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77">
    <w:name w:val="137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78">
    <w:name w:val="135"/>
    <w:rPr>
      <w:rFonts w:ascii="Times New Roman" w:hAnsi="Times New Roman" w:cs="Times New Roman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