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49"/>
        <w:jc w:val="center"/>
        <w:spacing w:lineRule="auto" w:line="240" w:after="0" w:before="0"/>
        <w:shd w:val="clear" w:color="auto" w:fill="FFFFFF"/>
        <w:rPr>
          <w:rFonts w:ascii="Times New Roman" w:hAnsi="Times New Roman"/>
          <w:sz w:val="30"/>
          <w:szCs w:val="30"/>
          <w:lang w:val="ru-RU"/>
        </w:rPr>
      </w:pPr>
      <w:r>
        <w:rPr>
          <w:rFonts w:cs="Times New Roman"/>
          <w:b/>
          <w:color w:val="333333"/>
          <w:sz w:val="30"/>
          <w:szCs w:val="30"/>
          <w:u w:val="none"/>
          <w:lang w:val="ru-RU"/>
        </w:rPr>
        <w:t xml:space="preserve">Регламент соревнований по кинезиологическому спорту по направлению «Экзарта-Фитнес».  </w:t>
      </w:r>
      <w:r/>
    </w:p>
    <w:p>
      <w:pPr>
        <w:pStyle w:val="149"/>
        <w:spacing w:lineRule="auto" w:line="240" w:after="0" w:before="0"/>
        <w:shd w:val="clear" w:color="auto" w:fill="FFFFFF"/>
      </w:pPr>
      <w:r/>
      <w:r/>
    </w:p>
    <w:p>
      <w:pPr>
        <w:pStyle w:val="112"/>
        <w:spacing w:lineRule="auto" w:line="240" w:after="0" w:before="0"/>
        <w:shd w:val="clear" w:color="auto" w:fill="FFFFFF"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/>
          <w:b/>
          <w:i w:val="false"/>
          <w:caps w:val="false"/>
          <w:smallCaps w:val="false"/>
          <w:color w:val="333333"/>
          <w:spacing w:val="0"/>
          <w:sz w:val="24"/>
          <w:u w:val="none"/>
          <w:lang w:val="ru-RU"/>
        </w:rPr>
        <w:t xml:space="preserve">1. ПРИБЫТИЕ НА СОРЕВНОВАНИЯ</w:t>
      </w:r>
      <w:r/>
    </w:p>
    <w:p>
      <w:pPr>
        <w:pStyle w:val="112"/>
        <w:ind w:left="0" w:right="0" w:hanging="0"/>
        <w:spacing w:after="0" w:before="0"/>
        <w:widowControl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Отдельные участники и/или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делегации прибывают на соревнования в день, установленный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орагнизаторами фестиваля «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 xml:space="preserve">Fitness-Fiesta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».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За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5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дней до начала соревнований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участники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обязаны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подтвердить участие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, заполнив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предварительн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у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ю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заявк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у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на участие в соревнованиях установленного образца,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размещенную организаторами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на информационном ресурсе: http://fitnessfiesta.ru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. </w:t>
      </w: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Отдельные участники и/или делегации самостоятельно обеспечиваются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транспортом для доставки к местам проживания и проведения соревнований, других мероприятий, проводимых в рамках соревнований. </w:t>
      </w: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Отдельные участники и/или делегации самостоятельно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решают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вопросы, связанные с местом проживания и питания. За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о</w:t>
      </w: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тдельными участниками и/или делегациями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закрепляются кураторы, которые обеспечивают информацией о соревнованиях и связь с оргкомитетом. Члены судейской коллегии, приглашенные на соревнования, не входят в состав делегаци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й и не являются отдельными участниками соревнований.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Arial" w:hAnsi="Arial"/>
          <w:lang w:val="ru-RU"/>
        </w:rPr>
      </w:pPr>
      <w:r>
        <w:rPr>
          <w:lang w:val="ru-RU"/>
        </w:rPr>
      </w:r>
      <w:r/>
    </w:p>
    <w:p>
      <w:pPr>
        <w:pStyle w:val="112"/>
        <w:ind w:left="0" w:right="0" w:hanging="0"/>
        <w:jc w:val="both"/>
        <w:spacing w:after="0" w:before="0"/>
        <w:widowControl/>
        <w:rPr>
          <w:rFonts w:ascii="Arial" w:hAnsi="Arial"/>
          <w:lang w:val="ru-RU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2. КОМИССИЯ ПО ДОПУСКУ УЧАСТНИКОВ СОРЕВНОВАНИЙ (МАНДАТНАЯ КОМИССИЯ)</w:t>
      </w:r>
      <w:r/>
    </w:p>
    <w:p>
      <w:pPr>
        <w:pStyle w:val="112"/>
        <w:ind w:left="0" w:right="0" w:hanging="0"/>
        <w:spacing w:after="0" w:before="0"/>
        <w:widowControl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Оргкомитет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фестиваля «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 xml:space="preserve">Fitness-Fiesta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»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определяет состав мандатной комиссии, которая с 9.00 до 13.00 проводит работу с документацией по допуску участников соревнований,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организует жеребьевку и очередность выхода участников.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Результаты жеребьевки оформляются актом, подписанным председателем мандатной комиссии и главным секретарем соревнований. Главный секретарь проводит жеребьевку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участников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.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Arial" w:hAnsi="Arial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Arial" w:hAnsi="Arial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К участию в соревнованиях допускаются участники на безвозмездной основе.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Arial" w:hAnsi="Arial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Arial" w:hAnsi="Arial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Мандатная комиссия и жеребьевка должны проводиться до опробования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установки «Экзарта»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. Документом, удостоверяющим личность участника соревнований, является только паспорт или идентификационная карточка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участника фестиваля «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 xml:space="preserve">Fitness-Fiesta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». До участия в соревнованиях не допускаются лица, находящиеся в состоянии алкогольного, наркотического опьянения или лица, чье физиологическое состояние вызывает сомнения мандатной комиссии. О возможных противопоказаниях, имеющихся заболеваниях и травмах, участники должны оповестить мандатную комиссиию при регистрации на месте и в день проведения соревнований. 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Arial" w:hAnsi="Arial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Arial" w:hAnsi="Arial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Соревнования будут проводиться по адресу: Российская Федерация, Нижегородская область, город Нижний Новгород, Набережная Гребного канала, площадка фестиваля «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 xml:space="preserve">Fitness-Fiesta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».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Дата проведения соревнований: 28 июля 2018 года. 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Arial" w:hAnsi="Arial"/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Регистрация участников и прохождение мандатной комиссии: 28 июля 2018 года с 11.00 до 15.00.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lang w:val="ru-RU"/>
        </w:rPr>
      </w:pPr>
      <w:r>
        <w:rPr>
          <w:lang w:val="ru-RU"/>
        </w:rPr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/>
          <w:bCs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Противопоказания к занятиям, связанными с физической активностью:</w:t>
      </w:r>
      <w:r/>
    </w:p>
    <w:p>
      <w:pPr>
        <w:pStyle w:val="149"/>
        <w:numPr>
          <w:ilvl w:val="0"/>
          <w:numId w:val="1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Острые инфекционные болезни</w:t>
      </w:r>
      <w:r/>
    </w:p>
    <w:p>
      <w:pPr>
        <w:pStyle w:val="149"/>
        <w:numPr>
          <w:ilvl w:val="0"/>
          <w:numId w:val="1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Все болезни в острой (активной фазе)</w:t>
      </w:r>
      <w:r/>
    </w:p>
    <w:p>
      <w:pPr>
        <w:pStyle w:val="149"/>
        <w:numPr>
          <w:ilvl w:val="0"/>
          <w:numId w:val="1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Хронические заболевания в период обострения (декомпенсации)</w:t>
      </w:r>
      <w:r/>
    </w:p>
    <w:p>
      <w:pPr>
        <w:pStyle w:val="149"/>
        <w:numPr>
          <w:ilvl w:val="0"/>
          <w:numId w:val="1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Психические заболевания</w:t>
      </w:r>
      <w:r/>
    </w:p>
    <w:p>
      <w:pPr>
        <w:pStyle w:val="149"/>
        <w:numPr>
          <w:ilvl w:val="0"/>
          <w:numId w:val="1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Органические заболевания центральной нервной системы</w:t>
      </w:r>
      <w:r/>
    </w:p>
    <w:p>
      <w:pPr>
        <w:pStyle w:val="149"/>
        <w:numPr>
          <w:ilvl w:val="0"/>
          <w:numId w:val="1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Злокачественные новообразования</w:t>
      </w:r>
      <w:r/>
    </w:p>
    <w:p>
      <w:pPr>
        <w:pStyle w:val="149"/>
        <w:numPr>
          <w:ilvl w:val="0"/>
          <w:numId w:val="1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Болезни опорно-двигательного аппарта: деформирующие полиартриты (артриты), спондилоартриты (разной этиологии с прогрессирующим течением  и резким нарушением функции суставов и наличием болевого синдрома)</w:t>
      </w:r>
      <w:r/>
    </w:p>
    <w:p>
      <w:pPr>
        <w:pStyle w:val="149"/>
        <w:numPr>
          <w:ilvl w:val="0"/>
          <w:numId w:val="1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Коллагеновые болезни</w:t>
      </w:r>
      <w:r/>
    </w:p>
    <w:p>
      <w:pPr>
        <w:pStyle w:val="149"/>
        <w:numPr>
          <w:ilvl w:val="0"/>
          <w:numId w:val="1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Болезни органов дыхания:  а) болезни протекающие  с дыхательной или легочно- сердечной недостаточностью свыше 1 степени; б) бронхиальная астма с частыми, затяжными, трудно купирующими приступами; в) хр. бронхит с наклонностью к частым обострениям и наличие резко выраженного бронхоспастического компонента; г) бронхоэкстатическая болезнь до полного клинического излечения; д) пневмония интерстициальная с рецидивирующим течением;</w:t>
      </w:r>
      <w:r/>
    </w:p>
    <w:p>
      <w:pPr>
        <w:pStyle w:val="149"/>
        <w:numPr>
          <w:ilvl w:val="0"/>
          <w:numId w:val="1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Болезни сердечно-сосудистой системы: а) аневризма аорты сердца; б) аритмии (сложные нарушения ритма и проводимости, монотонная экстрасистолия, мерцательная аритмия, пароксизмальная тахикардия); в) блокада левой ножки пучка Гиса или ее разветвлений; г)заболевания,  протекающие с недостаточностью кровообращения выше 1 степени ( по Василенко- Стражеско); д) стенокардия напряжения с частыми приступами; е) постинфарктный кардиосклероз (решается в каждом конкретном случае); ж) наличие на ЭКГ рубцовых изменений миокарда (при отсутствии в анамнезе инфаркта миокарда и жалоб на момент обследования) с отчетливым ЭКГ  признаками выраженной недостаточности кровообращения сердечной мышцы; з) гипертоническая болезнь с частыми кризами, а также при цифрах систолического артериального давления выше 200 мм рт.ст. или диастолического выше 110 мм рт.ст.; и)гипертоническая болезнь (первичного или вторичного характера) или цифрах систолического артериального давления ниже 90 мм рт.ст; к) больные, оперированные по поводу врожденных, приобретенных пороков сердца, коронарной недостаточности- ранее 3 месяцев после операции ( в дальнейшем индивидуальный подход  в зависимости от исхода операции, имевшихся осложнений, состояний кардио- и общей гемодинамики, а также предшествовавшей двигательной активности); л) синдром Морганьи- Эдемса- Стокса.</w:t>
      </w:r>
      <w:r/>
    </w:p>
    <w:p>
      <w:pPr>
        <w:pStyle w:val="149"/>
        <w:numPr>
          <w:ilvl w:val="0"/>
          <w:numId w:val="1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Болезни органов пищеварения: а) желудок, оперированный при декомпенсации функции органов пищеварения; б) панкреатит хр. с рецидивирующим течением при наличии ферментативной недостаточности; в) язвенная болезнь желудка (двенадцатиперстной кишки) с наклонностью к частым рецидивам или при значительном нарушении функции органов пищеварения и нарушений питания или выраженном болевом синдроме.</w:t>
      </w:r>
      <w:r/>
    </w:p>
    <w:p>
      <w:pPr>
        <w:pStyle w:val="149"/>
        <w:numPr>
          <w:ilvl w:val="0"/>
          <w:numId w:val="1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Заболевания печени и желчных путей: а) цирроз печени (любой этиологии), рецидивирующий с прогрессирующим течением или признаками печеночной недостаточности; б) хронический гепатит (гепатодистрафия- «гепатозы»), рецидивирующий с выраженными функциональными расстройствами; в) хр. холециститы калькулезной этиологии, сопровождающиеся приступами печеночной колики или рецидивирующей желтухой; г) хр. антиохолит с приступами печеночной колики и нарушением желчевыделения; д) вторичный хр. панколит, обусловленный нарушением внешне секреторной функции поджелудочной железы.</w:t>
      </w:r>
      <w:r/>
    </w:p>
    <w:p>
      <w:pPr>
        <w:pStyle w:val="149"/>
        <w:numPr>
          <w:ilvl w:val="0"/>
          <w:numId w:val="1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Заболевания почек в мочевыводящий путях: а) хр. диффузный гломерулонефрит рецидивирующего течения или при наличии признаков почечной недостаточности; б) хр. интерстициальный нефрит различного генеза при наличии признаков почечной недостаточности; в) хр. пиелонефрит с рецидивирующим течением, наличие  выраженных функциональных нарушений или осложнений ( гидропионефриз, гипертоническая перебропатия); г) липидно- амилоидный нефроз</w:t>
      </w:r>
      <w:r/>
    </w:p>
    <w:p>
      <w:pPr>
        <w:pStyle w:val="149"/>
        <w:numPr>
          <w:ilvl w:val="0"/>
          <w:numId w:val="1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Болезни эндокринных желез: а)гипогликемическая болезнь; б) гипотериоз, микседема ( первичная или вторичная форма) тяжелого течения; в) диабет несахарный; г) диабет сахарный (первичный или вторичный) среднего и тяжелого течения или при наличии осложнений (кетоацитоз, сосудистые поражения, полиневриты и др.); д) зоб диффузный токсический ( тиреотоксикоз базедова болезнь)- тяжелая форма; эндемический зоб с выраженной гипер- или гипофункцией железы; ж) хр. тиреоидит.</w:t>
      </w:r>
      <w:r/>
    </w:p>
    <w:p>
      <w:pPr>
        <w:pStyle w:val="149"/>
        <w:numPr>
          <w:ilvl w:val="0"/>
          <w:numId w:val="1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Болезни обмена: а) ожирение вторичного генеза (дианцефальное, гипотиреодальное, гипогенитальное, при синдроме Иценко-Купшига); б) подагра с прогрессирующим течением или выраженным болевым синдромом.</w:t>
      </w:r>
      <w:r/>
    </w:p>
    <w:p>
      <w:pPr>
        <w:pStyle w:val="149"/>
        <w:numPr>
          <w:ilvl w:val="0"/>
          <w:numId w:val="1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Патологический климакс.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/>
          <w:bCs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Относительные противопоказания: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1. Частые суправентрикулярные экстрасистолы (4:40), мерцательная аритмия.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2. Повторяющаяся или частая желудочковая; эктопическая активность.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3. Легочная гипертония.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4. Аневризма желудочковая сердца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5. Умеренный аортальный стеноз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6. Неконтролируемые  метаболические заболевания (сахарный диабет, тиреотоксикоз, микседема).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7. Значительные увеличения сердца.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/>
          <w:bCs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Состояния, требующие специального внимания и предосторожности:</w:t>
      </w:r>
      <w:r/>
    </w:p>
    <w:p>
      <w:pPr>
        <w:pStyle w:val="149"/>
        <w:numPr>
          <w:ilvl w:val="0"/>
          <w:numId w:val="2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Нарушение проводимости: а) полная атриовентрикулярная блокада; б) блокада левой ножки пучка Гиса; в) синдром Вольфа- Паркинсона- Уайта.</w:t>
      </w:r>
      <w:r/>
    </w:p>
    <w:p>
      <w:pPr>
        <w:pStyle w:val="149"/>
        <w:numPr>
          <w:ilvl w:val="0"/>
          <w:numId w:val="2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Наличие имплантированного водителя ритма сердца с фиксированной частотой.</w:t>
      </w:r>
      <w:r/>
    </w:p>
    <w:p>
      <w:pPr>
        <w:pStyle w:val="149"/>
        <w:numPr>
          <w:ilvl w:val="0"/>
          <w:numId w:val="2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Контролируемые дизаритмии.</w:t>
      </w:r>
      <w:r/>
    </w:p>
    <w:p>
      <w:pPr>
        <w:pStyle w:val="149"/>
        <w:numPr>
          <w:ilvl w:val="0"/>
          <w:numId w:val="2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Нарушение электролитного баланса.</w:t>
      </w:r>
      <w:r/>
    </w:p>
    <w:p>
      <w:pPr>
        <w:pStyle w:val="149"/>
        <w:numPr>
          <w:ilvl w:val="0"/>
          <w:numId w:val="2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Применение некоторых лекарств: а) препаратов наперстянки, б) блокаторов адренергических бетарецепторов и препаратов подобного действия.</w:t>
      </w:r>
      <w:r/>
    </w:p>
    <w:p>
      <w:pPr>
        <w:pStyle w:val="149"/>
        <w:numPr>
          <w:ilvl w:val="0"/>
          <w:numId w:val="2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Тяжелая гипертония, ретинопатия III степени.</w:t>
      </w:r>
      <w:r/>
    </w:p>
    <w:p>
      <w:pPr>
        <w:pStyle w:val="149"/>
        <w:numPr>
          <w:ilvl w:val="0"/>
          <w:numId w:val="2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Грудная жаба и др. проявления коронарной недостаточности.</w:t>
      </w:r>
      <w:r/>
    </w:p>
    <w:p>
      <w:pPr>
        <w:pStyle w:val="149"/>
        <w:numPr>
          <w:ilvl w:val="0"/>
          <w:numId w:val="2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Тяжелая анемия.</w:t>
      </w:r>
      <w:r/>
    </w:p>
    <w:p>
      <w:pPr>
        <w:pStyle w:val="149"/>
        <w:numPr>
          <w:ilvl w:val="0"/>
          <w:numId w:val="2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Выраженное ожирение.</w:t>
      </w:r>
      <w:r/>
    </w:p>
    <w:p>
      <w:pPr>
        <w:pStyle w:val="149"/>
        <w:numPr>
          <w:ilvl w:val="0"/>
          <w:numId w:val="2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Почечная, печеночная и др. виды метаболической недостаточности.</w:t>
      </w:r>
      <w:r/>
    </w:p>
    <w:p>
      <w:pPr>
        <w:pStyle w:val="149"/>
        <w:numPr>
          <w:ilvl w:val="0"/>
          <w:numId w:val="2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Явные психоневротические расстройства.</w:t>
      </w:r>
      <w:r/>
    </w:p>
    <w:p>
      <w:pPr>
        <w:pStyle w:val="149"/>
        <w:numPr>
          <w:ilvl w:val="0"/>
          <w:numId w:val="2"/>
        </w:numPr>
        <w:ind w:left="568" w:right="0" w:firstLine="359"/>
        <w:spacing w:lineRule="auto" w:line="240" w:after="0" w:before="28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Нервно-мышечные, мышечно- скелетные и суставные расстройства, которые будут мешать проведению теста.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/>
          <w:bCs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Дополнения: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сколиоз, требующий ношение корсета; 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плоскостопие III степени;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частые головокружения; 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нарушение связочного аппарата суставов; 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некоторые доброкачественные опухоли костной системы; 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некомпенсированное повреждение позвоночника;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онкологические заболевания;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различные виды переломов и посттравматические состояния; 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психические расстройства и пограничные состояния психики; 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ОРВИ и грипп.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Высокая температура тела.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Несложный перелом одного или двух позвонков в грудном или поясничном отделах позвоночника. После перерыва (не менее года) при отсутствии болевого синдрома можно возобновить занятия танцами.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Переломы костей конечностей, осложненные повреждением периферических нервов с наличием ярко выраженного пореза конечностей. В данном случае занятия возобновляются только после разрешения врача.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Наличие искусственного сустава.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Полная неподвижность одного из суставов нижней конечности.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Аномалия развития нижней конечности, которая затрудняет процесс ходьбы и стояния.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Нарушение связочного аппарата коленного сустава (нестабильный сустав).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Болезнь Бехтерева.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Осложненный перелом позвоночника с повреждением спинного мозга.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Эпилепсия с судорожными припадками, сопровождающаяся потерей сознания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Выраженные и частые головокружения.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Психические заболевания различной степени выраженности.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Тяжелые заболевания внутренних органов, препятствующие назначению физической нагрузки танцевального типа (сахарный диабет, артериальная гипертония, опухоли и т. д.).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Наличие онкологических заболевании.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Сколиоз, осложненный нижним вялым парапарезом, требующий ношения специальных корсетов для разгрузки позвоночника.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Резко выраженное плоскостопие III степени с болевым синдромом.</w:t>
      </w:r>
      <w:r/>
    </w:p>
    <w:p>
      <w:pPr>
        <w:pStyle w:val="149"/>
        <w:spacing w:lineRule="auto" w:line="240" w:after="0" w:before="0"/>
        <w:shd w:val="clear" w:color="auto" w:fill="FFFFFF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Туберкулез костей и суставов.</w:t>
      </w:r>
      <w:r/>
    </w:p>
    <w:p>
      <w:pPr>
        <w:pStyle w:val="149"/>
        <w:ind w:left="0" w:right="0" w:hanging="0"/>
        <w:jc w:val="both"/>
        <w:spacing w:lineRule="auto" w:line="240" w:after="0" w:before="0"/>
        <w:shd w:val="clear" w:color="auto" w:fill="FFFFFF"/>
        <w:widowControl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  <w:lang w:val="ru-RU"/>
        </w:rPr>
        <w:t xml:space="preserve">Ряд доброкачественных опухолей костной системы (например, фиброзная дисплазия), которые способствуют развитию патологических переломов костей.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 </w:t>
      </w:r>
      <w:r/>
    </w:p>
    <w:p>
      <w:pPr>
        <w:pStyle w:val="11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3. ОПРОБОВАНИЕ УСТАНОВКИ «ЭКЗАРТА» (ТРЕНИРОВКА)</w:t>
      </w:r>
      <w:r/>
    </w:p>
    <w:p>
      <w:pPr>
        <w:pStyle w:val="112"/>
        <w:ind w:left="0" w:right="0" w:hanging="0"/>
        <w:spacing w:after="0" w:before="0"/>
        <w:widowControl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Все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участники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имеют право до начала старт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а соревнований 28 июля 2018 года с 12.00 до 16.00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провести тренировку (опробование) по всем видам программы соревнований. Тренировки проходят в соответствии с графиком, утвержденным оргкомитетом,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и назначаются по факту регистрации и прохождения мандатной комиссии. Длительность тренировки одного участника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суммарно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не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более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1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0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минут на каждый вид. Оргкомитет обязан предоставить спортивный инвентарь, снаряды и оборудование,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в том числе установку «Экзарта»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, соответствующие требованиям Правил соревнований. После окончания тренировки,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участники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представляют спортивный инвентарь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Оргкомитету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(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сенсомоторные подушки, фитболы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и т.д.) для осмотра на соответствие требованиям Правил соревнований и маркировки. Спортивный инвентарь,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выданный для тренировки участнику, не может быть передан третьим лицам, не может использоваться для извлечения финансовой или прочей выгоды.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Во время опробования снарядов судейская коллегия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или отдельные её члены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должны находиться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в тренировочном секторе.</w:t>
      </w: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Опробование снарядов предоставляется по всем видам программы. Все секторы и снаряды должны быть готовы. 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Разминка и опробование установки «Экзарта»: 28 июля 2018 года с 12.00 до 16.00.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Arial" w:hAnsi="Arial"/>
        </w:rPr>
      </w:pPr>
      <w:r/>
      <w:r/>
    </w:p>
    <w:p>
      <w:pPr>
        <w:pStyle w:val="11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</w:rPr>
        <w:t xml:space="preserve">4. </w:t>
      </w:r>
      <w:r>
        <w:rPr>
          <w:b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ОРГАНИЗАЦИЯ И КОМПЛЕКТОВАНИЕ СУДЕЙСКОЙ И МАНДАТНОЙ КОМИССИЙ.  </w:t>
      </w:r>
      <w:r/>
    </w:p>
    <w:p>
      <w:pPr>
        <w:pStyle w:val="112"/>
        <w:ind w:left="0" w:right="0" w:hanging="0"/>
        <w:spacing w:after="0" w:before="0"/>
        <w:widowControl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Судейская комиссия состоит из:                                      </w:t>
        <w:br/>
        <w:t xml:space="preserve">- Председателя судейской комиссии,                                      </w:t>
        <w:br/>
        <w:t xml:space="preserve">- Главного судьи,                                                                 </w:t>
        <w:br/>
        <w:t xml:space="preserve">- Старшего судьи. 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Мандатная комиссия состоит из:                                                   </w:t>
        <w:br/>
        <w:t xml:space="preserve">- Председателя мандатной комиссии,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- Врача,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- Секретаря мандатной комиссии.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Допускается совмещение функциональных должностей в обоих комиссиях. Результаты соревнований оформляются протоколом, подписываются Председателем судейской комиссии и Главным судьей. Протокол о допуске до соревнований участников формируется и подписывается Председателем мандатной комиссии, врачом и секретарем мандатной комиссии.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 </w:t>
      </w:r>
      <w:r/>
    </w:p>
    <w:p>
      <w:pPr>
        <w:pStyle w:val="11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5. ОРГАНИЗАЦИЯ СОРЕВНОВАНИЙ</w:t>
      </w:r>
      <w:r/>
    </w:p>
    <w:p>
      <w:pPr>
        <w:pStyle w:val="112"/>
        <w:ind w:left="0" w:right="0" w:hanging="0"/>
        <w:spacing w:after="0" w:before="0"/>
        <w:widowControl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Программу соревнований утверждает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О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ргкомитет. Программа определяет время всех мероприятий в рамках соревнований и выдается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участникам по факту прохождения мандатной комиссии 28 июля 2018 года. Отдельные участиники соревнований и/или делегации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должны быть ознакомлены с порядком проведения открытия и закрытия соревнований, выполнять требования судьи по информации и торжественным церемониям. Все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отдельные участники и/или представители делегаций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обязаны принять участие в открытии и закрытии соревнований в соответствии со сценариями.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Соревнования проводятся в двух квалификациях. Квалификация «Фитнес» предусматривает участие в соревновании лиц не имеющих специального образования и/или физической подготовки, не являющиеся работниками частных или государственных физкультурных/спортивных/фитнес-центров, иные лица допущенные к соревнованиям мандатной комиссией.                                  </w:t>
        <w:br/>
        <w:t xml:space="preserve">Квалификация «Фитнес-мастер» предусматривает участие в соревновании лиц, имеющих специальное образование и/или физическую подготовку, являющиеся работниками частных или государственных физкультурных/спортивных/фитнес-центров, иные лица допущенные к соревнованиям мандатной комиссией и допущенные для участия в соревнованиях в квалификации «Фитнес-мастер».  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Arial" w:hAnsi="Arial"/>
          <w:lang w:val="ru-RU"/>
        </w:rPr>
      </w:pPr>
      <w:r>
        <w:rPr>
          <w:lang w:val="ru-RU"/>
        </w:rPr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Соревнования проводятся: 28 июля 2018 года с 17.00 до 19.00. 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В квалификации «Фитнес» с 17.00 до 18.00, в квалификации «Фитнес-мастер» с 18.00 до 19.00.                                                            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 </w:t>
      </w: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b/>
          <w:i w:val="false"/>
          <w:caps w:val="false"/>
          <w:smallCaps w:val="false"/>
          <w:color w:val="000000"/>
          <w:spacing w:val="0"/>
          <w:sz w:val="24"/>
        </w:rPr>
        <w:t xml:space="preserve">6. СОРЕВНОВАНИЯ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Arial" w:hAnsi="Arial"/>
        </w:rPr>
      </w:pPr>
      <w:r/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Судейская коллегия прибывает на место проведения соревнований не позднее, чем за 1 час до их начала. Оргкомитет обеспечивает зону доступа участников соревнований на спортивную арену. Спортивной ареной являются все пространства внутри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павильона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, исключая трибуны. Мест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о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проведения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соревнований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должн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о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иметь ленточное (или иное) ограждение.</w:t>
      </w: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На спортивную арену запрещается доступ лиц, не участвующих непосредственно в проведении данного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квалификации соревнований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. В пределах спортивной арены находится судейская коллегия. За 1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0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минут до начала соревнований к месту старта для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инструктажа по использованию оборудования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приглашаются участники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соответствующей квалификации, в соответствии с жеребьевкой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, далее по протоколу. Запрещается выходить на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соревнования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с голым торсом и в коротких спортивных трусах, а также плавках. Участникам соревнований запрещается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входить в зону проведения соревнований без приглашения судейской комиссии.</w:t>
      </w: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Представители средств массовой информации допускаются на спортивную арену в строго отведенные места. Протесты подаются в секретариат соревнований, где регистрируются. Решения по протестам принимаются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Председателем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судейской ко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миссии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. Вмешательство со стороны представителей, тренеров, участников соревнований и официальных лиц не допускается. В утверждении результатов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участвуют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только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члены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судейск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ой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ко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миссии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. Все решения судейской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комиссии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объявляются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Предскдателем судейской комиссии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.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09.08.2010г. № 613н «Об утверждении порядка оказания медицинской помощи при проведении физкультурных и спортивных мероприятий». Организатор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  <w:lang w:val="ru-RU"/>
        </w:rPr>
        <w:t xml:space="preserve">соревнований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 не несет ответственность за вред, связанный с ухудшением здоровья, если состояние участника ухудшилось в результате острого заболевания, обострения травмы или хронического заболевания. Организатор не несет ответственность за вред, причиненный здоровью Участника вследствие нарушения им Инструкций по технике безопасности, не соблюдения рекомендаций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  <w:lang w:val="ru-RU"/>
        </w:rPr>
        <w:t xml:space="preserve">судей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, самостоятельных тренировок. В случае, если действия и/или состояние здоровья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  <w:lang w:val="ru-RU"/>
        </w:rPr>
        <w:t xml:space="preserve">у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частника представляют угрозу для окружающих или для него самого,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  <w:lang w:val="ru-RU"/>
        </w:rPr>
        <w:t xml:space="preserve">члены судейской комиссии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 вправе отказать ему в участии в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  <w:lang w:val="ru-RU"/>
        </w:rPr>
        <w:t xml:space="preserve">соревновании или преостановки участия в них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. В течение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  <w:lang w:val="ru-RU"/>
        </w:rPr>
        <w:t xml:space="preserve">соревнований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  <w:lang w:val="ru-RU"/>
        </w:rPr>
        <w:t xml:space="preserve">у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частник обязан самостоятельно следить за своим самочувствием. Запрещается участвовать в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  <w:lang w:val="ru-RU"/>
        </w:rPr>
        <w:t xml:space="preserve">соревнованиях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 xml:space="preserve"> при незаживших травмах и общем недомогании. Участник обязан бережно относится к оборудованию.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  <w:lang w:val="ru-RU"/>
        </w:rPr>
        <w:t xml:space="preserve">Перечень упражнений и заданий определяется судейской комиссией в соответствии с квалификацией участников.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u w:val="none"/>
          <w:lang w:val="ru-RU"/>
        </w:rPr>
        <w:t xml:space="preserve"> </w:t>
      </w:r>
      <w:r/>
    </w:p>
    <w:p>
      <w:pPr>
        <w:pStyle w:val="136"/>
        <w:ind w:left="0" w:right="0" w:hanging="0"/>
        <w:spacing w:after="0" w:before="0"/>
        <w:widowControl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</w:rPr>
        <w:t xml:space="preserve">7. НАГРАЖДЕНИЕ</w:t>
      </w:r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Arial" w:hAnsi="Arial"/>
        </w:rPr>
      </w:pPr>
      <w:r/>
      <w:r/>
    </w:p>
    <w:p>
      <w:pPr>
        <w:pStyle w:val="152"/>
        <w:ind w:left="0" w:right="0" w:hanging="0"/>
        <w:jc w:val="both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Все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участники и/или представители делегаций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должны присутствовать на церемонии награждения. Судейская ко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миссия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может принять решение о неучастии участника на церемонии только по уважительной причине.</w:t>
      </w:r>
      <w:r/>
    </w:p>
    <w:p>
      <w:pPr>
        <w:pStyle w:val="136"/>
        <w:ind w:left="0" w:right="0" w:hanging="0"/>
        <w:jc w:val="center"/>
        <w:spacing w:after="0" w:before="0"/>
        <w:widowControl/>
        <w:rPr>
          <w:rFonts w:ascii="Arial" w:hAnsi="Arial"/>
          <w:b/>
        </w:rPr>
      </w:pPr>
      <w:r>
        <w:rPr>
          <w:b/>
        </w:rPr>
      </w:r>
      <w:r/>
    </w:p>
    <w:p>
      <w:pPr>
        <w:pStyle w:val="136"/>
        <w:ind w:left="0" w:right="0" w:hanging="0"/>
        <w:jc w:val="left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</w:rPr>
        <w:t xml:space="preserve">8. ГРАЖДАНСТВО УЧАСТНИКОВ</w:t>
      </w:r>
      <w:r/>
    </w:p>
    <w:p>
      <w:pPr>
        <w:pStyle w:val="136"/>
        <w:ind w:left="0" w:right="0" w:hanging="0"/>
        <w:jc w:val="left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  <w:r/>
    </w:p>
    <w:p>
      <w:pPr>
        <w:pStyle w:val="152"/>
        <w:ind w:left="0" w:right="0" w:hanging="0"/>
        <w:spacing w:after="0" w:before="0"/>
        <w:widowControl/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Для участия в соревнованиях допускаются лица с гражданством и без гражданства.</w:t>
      </w:r>
      <w:r/>
    </w:p>
    <w:p>
      <w:pPr>
        <w:pStyle w:val="136"/>
        <w:ind w:left="0" w:right="0" w:hanging="0"/>
        <w:spacing w:after="0" w:before="0"/>
        <w:widowControl/>
        <w:rPr>
          <w:rFonts w:ascii="Times New Roman" w:hAnsi="Times New Roman" w:cs="Times New Roman"/>
          <w:b/>
          <w:i/>
          <w:color w:val="333333"/>
          <w:sz w:val="24"/>
          <w:u w:val="none"/>
        </w:rPr>
      </w:pPr>
      <w:r>
        <w:rPr>
          <w:rFonts w:ascii="Times New Roman" w:hAnsi="Times New Roman" w:cs="Times New Roman"/>
          <w:b/>
          <w:i/>
          <w:color w:val="333333"/>
          <w:sz w:val="24"/>
          <w:u w:val="none"/>
        </w:rPr>
      </w:r>
      <w:r/>
    </w:p>
    <w:p>
      <w:pPr>
        <w:pStyle w:val="149"/>
        <w:spacing w:lineRule="auto" w:line="240" w:after="0" w:before="0"/>
      </w:pPr>
      <w:r/>
      <w:r/>
    </w:p>
    <w:p>
      <w:pPr>
        <w:pStyle w:val="151"/>
        <w:ind w:left="0" w:right="0" w:hanging="0"/>
        <w:spacing w:lineRule="auto" w:line="240" w:after="0" w:before="0"/>
      </w:pPr>
      <w:r/>
      <w:r/>
    </w:p>
    <w:p>
      <w:pPr>
        <w:pStyle w:val="151"/>
        <w:ind w:left="0" w:right="0" w:hanging="0"/>
        <w:spacing w:lineRule="auto" w:line="240" w:after="0" w:before="0"/>
      </w:pPr>
      <w:r/>
      <w:r/>
    </w:p>
    <w:p>
      <w:pPr>
        <w:pStyle w:val="112"/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widowControl/>
      </w:pPr>
      <w:r/>
      <w:r/>
    </w:p>
    <w:sectPr>
      <w:footnotePr/>
      <w:type w:val="nextPage"/>
      <w:pgSz w:w="11906" w:h="16838"/>
      <w:pgMar w:top="1134" w:right="850" w:bottom="1134" w:left="1701" w:gutter="0" w:header="0" w:footer="0"/>
      <w:cols w:num="1" w:sep="0" w:space="170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ourier New">
    <w:panose1 w:val="02070309020205020404"/>
  </w:font>
  <w:font w:name="Liberation Sans">
    <w:panose1 w:val="020B0604020202020204"/>
  </w:font>
  <w:font w:name="Microsoft YaHei">
    <w:panose1 w:val="020B0503020204020204"/>
  </w:font>
  <w:font w:name="PT Sans;sans-serif">
    <w:panose1 w:val="020B0604020202020204"/>
  </w:font>
  <w:font w:name="Symbol">
    <w:panose1 w:val="05050102010706020507"/>
  </w:font>
  <w:font w:name="Times New Roman">
    <w:panose1 w:val="02020603050405020304"/>
  </w:font>
  <w:font w:name="Wingdings">
    <w:panose1 w:val="05000000000000000000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5"/>
      </w:pPr>
    </w:lvl>
    <w:lvl w:ilvl="1">
      <w:start w:val="1"/>
      <w:numFmt w:val="decimal"/>
      <w:suff w:val="tab"/>
      <w:lvlText w:val="%2."/>
      <w:lvlJc w:val="left"/>
      <w:pPr>
        <w:ind w:left="1440" w:hanging="355"/>
      </w:pPr>
    </w:lvl>
    <w:lvl w:ilvl="2">
      <w:start w:val="1"/>
      <w:numFmt w:val="decimal"/>
      <w:suff w:val="tab"/>
      <w:lvlText w:val="%2.%3."/>
      <w:lvlJc w:val="left"/>
      <w:pPr>
        <w:ind w:left="2160" w:hanging="355"/>
      </w:pPr>
    </w:lvl>
    <w:lvl w:ilvl="3">
      <w:start w:val="1"/>
      <w:numFmt w:val="decimal"/>
      <w:suff w:val="tab"/>
      <w:lvlText w:val="%2.%3.%4."/>
      <w:lvlJc w:val="left"/>
      <w:pPr>
        <w:ind w:left="2880" w:hanging="355"/>
      </w:pPr>
    </w:lvl>
    <w:lvl w:ilvl="4">
      <w:start w:val="1"/>
      <w:numFmt w:val="decimal"/>
      <w:suff w:val="tab"/>
      <w:lvlText w:val="%2.%3.%4.%5."/>
      <w:lvlJc w:val="left"/>
      <w:pPr>
        <w:ind w:left="3600" w:hanging="355"/>
      </w:pPr>
    </w:lvl>
    <w:lvl w:ilvl="5">
      <w:start w:val="1"/>
      <w:numFmt w:val="decimal"/>
      <w:suff w:val="tab"/>
      <w:lvlText w:val="%2.%3.%4.%5.%6."/>
      <w:lvlJc w:val="left"/>
      <w:pPr>
        <w:ind w:left="4320" w:hanging="355"/>
      </w:pPr>
    </w:lvl>
    <w:lvl w:ilvl="6">
      <w:start w:val="1"/>
      <w:numFmt w:val="decimal"/>
      <w:suff w:val="tab"/>
      <w:lvlText w:val="%2.%3.%4.%5.%6.%7."/>
      <w:lvlJc w:val="left"/>
      <w:pPr>
        <w:ind w:left="5040" w:hanging="355"/>
      </w:pPr>
    </w:lvl>
    <w:lvl w:ilvl="7">
      <w:start w:val="1"/>
      <w:numFmt w:val="decimal"/>
      <w:suff w:val="tab"/>
      <w:lvlText w:val="%2.%3.%4.%5.%6.%7.%8."/>
      <w:lvlJc w:val="left"/>
      <w:pPr>
        <w:ind w:left="5760" w:hanging="355"/>
      </w:pPr>
    </w:lvl>
    <w:lvl w:ilvl="8">
      <w:start w:val="1"/>
      <w:numFmt w:val="decimal"/>
      <w:suff w:val="tab"/>
      <w:lvlText w:val="%2.%3.%4.%5.%6.%7.%8.%9."/>
      <w:lvlJc w:val="left"/>
      <w:pPr>
        <w:ind w:left="6480" w:hanging="355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5"/>
      </w:pPr>
    </w:lvl>
    <w:lvl w:ilvl="1">
      <w:start w:val="1"/>
      <w:numFmt w:val="decimal"/>
      <w:suff w:val="tab"/>
      <w:lvlText w:val="%2."/>
      <w:lvlJc w:val="left"/>
      <w:pPr>
        <w:ind w:left="1440" w:hanging="355"/>
      </w:pPr>
    </w:lvl>
    <w:lvl w:ilvl="2">
      <w:start w:val="1"/>
      <w:numFmt w:val="decimal"/>
      <w:suff w:val="tab"/>
      <w:lvlText w:val="%2.%3."/>
      <w:lvlJc w:val="left"/>
      <w:pPr>
        <w:ind w:left="2160" w:hanging="355"/>
      </w:pPr>
    </w:lvl>
    <w:lvl w:ilvl="3">
      <w:start w:val="1"/>
      <w:numFmt w:val="decimal"/>
      <w:suff w:val="tab"/>
      <w:lvlText w:val="%2.%3.%4."/>
      <w:lvlJc w:val="left"/>
      <w:pPr>
        <w:ind w:left="2880" w:hanging="355"/>
      </w:pPr>
    </w:lvl>
    <w:lvl w:ilvl="4">
      <w:start w:val="1"/>
      <w:numFmt w:val="decimal"/>
      <w:suff w:val="tab"/>
      <w:lvlText w:val="%2.%3.%4.%5."/>
      <w:lvlJc w:val="left"/>
      <w:pPr>
        <w:ind w:left="3600" w:hanging="355"/>
      </w:pPr>
    </w:lvl>
    <w:lvl w:ilvl="5">
      <w:start w:val="1"/>
      <w:numFmt w:val="decimal"/>
      <w:suff w:val="tab"/>
      <w:lvlText w:val="%2.%3.%4.%5.%6."/>
      <w:lvlJc w:val="left"/>
      <w:pPr>
        <w:ind w:left="4320" w:hanging="355"/>
      </w:pPr>
    </w:lvl>
    <w:lvl w:ilvl="6">
      <w:start w:val="1"/>
      <w:numFmt w:val="decimal"/>
      <w:suff w:val="tab"/>
      <w:lvlText w:val="%2.%3.%4.%5.%6.%7."/>
      <w:lvlJc w:val="left"/>
      <w:pPr>
        <w:ind w:left="5040" w:hanging="355"/>
      </w:pPr>
    </w:lvl>
    <w:lvl w:ilvl="7">
      <w:start w:val="1"/>
      <w:numFmt w:val="decimal"/>
      <w:suff w:val="tab"/>
      <w:lvlText w:val="%2.%3.%4.%5.%6.%7.%8."/>
      <w:lvlJc w:val="left"/>
      <w:pPr>
        <w:ind w:left="5760" w:hanging="355"/>
      </w:pPr>
    </w:lvl>
    <w:lvl w:ilvl="8">
      <w:start w:val="1"/>
      <w:numFmt w:val="decimal"/>
      <w:suff w:val="tab"/>
      <w:lvlText w:val="%2.%3.%4.%5.%6.%7.%8.%9."/>
      <w:lvlJc w:val="left"/>
      <w:pPr>
        <w:ind w:left="6480" w:hanging="355"/>
      </w:pPr>
    </w:lvl>
  </w:abstractNum>
  <w:abstractNum w:abstractNumId="2">
    <w:multiLevelType w:val="hybridMultilevel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00000A"/>
        <w:spacing w:val="0"/>
        <w:position w:val="0"/>
        <w:sz w:val="20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112" w:default="1">
    <w:name w:val="Normal"/>
    <w:qFormat/>
    <w:rPr>
      <w:rFonts w:ascii="Arial" w:hAnsi="Arial" w:cs="Arial" w:eastAsia="Arial"/>
      <w:color w:val="00000A"/>
      <w:spacing w:val="0"/>
      <w:sz w:val="22"/>
      <w:szCs w:val="22"/>
      <w:lang w:val="en-US" w:bidi="ar-SA" w:eastAsia="en-US"/>
    </w:rPr>
    <w:pPr>
      <w:ind w:left="0" w:right="0" w:hanging="0"/>
      <w:jc w:val="left"/>
      <w:spacing w:lineRule="auto" w:line="276" w:after="200" w:afterAutospacing="0" w:before="0" w:beforeAutospacing="0"/>
      <w:shd w:val="clear" w:color="auto" w:fill="auto"/>
      <w:widowControl/>
    </w:pPr>
  </w:style>
  <w:style w:type="paragraph" w:styleId="113">
    <w:name w:val="Heading 1"/>
    <w:basedOn w:val="112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14">
    <w:name w:val="Heading 2"/>
    <w:basedOn w:val="11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15">
    <w:name w:val="Heading 3"/>
    <w:basedOn w:val="112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16">
    <w:name w:val="Heading 4"/>
    <w:basedOn w:val="112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17">
    <w:name w:val="Heading 5"/>
    <w:basedOn w:val="112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18">
    <w:name w:val="Heading 6"/>
    <w:basedOn w:val="112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19">
    <w:name w:val="Heading 7"/>
    <w:basedOn w:val="112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20">
    <w:name w:val="Heading 8"/>
    <w:basedOn w:val="112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21">
    <w:name w:val="Heading 9"/>
    <w:basedOn w:val="112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character" w:styleId="122" w:default="1">
    <w:name w:val="Default Paragraph Font"/>
    <w:qFormat/>
    <w:uiPriority w:val="1"/>
    <w:semiHidden/>
    <w:unhideWhenUsed/>
  </w:style>
  <w:style w:type="character" w:styleId="123">
    <w:name w:val="Интернет-ссылка"/>
    <w:uiPriority w:val="99"/>
    <w:unhideWhenUsed/>
    <w:rPr>
      <w:color w:val="0000FF" w:themeColor="hyperlink"/>
      <w:u w:val="single"/>
    </w:rPr>
  </w:style>
  <w:style w:type="character" w:styleId="124">
    <w:name w:val="Footnote Text Char"/>
    <w:basedOn w:val="122"/>
    <w:qFormat/>
    <w:uiPriority w:val="99"/>
    <w:semiHidden/>
    <w:rPr>
      <w:sz w:val="20"/>
    </w:rPr>
  </w:style>
  <w:style w:type="character" w:styleId="125">
    <w:name w:val="footnote reference"/>
    <w:basedOn w:val="122"/>
    <w:qFormat/>
    <w:uiPriority w:val="99"/>
    <w:semiHidden/>
    <w:unhideWhenUsed/>
    <w:rPr>
      <w:vertAlign w:val="superscript"/>
    </w:rPr>
  </w:style>
  <w:style w:type="character" w:styleId="126">
    <w:name w:val="ListLabel 1"/>
    <w:qFormat/>
    <w:rPr>
      <w:rFonts w:ascii="Times New Roman" w:hAnsi="Times New Roman" w:cs="Symbol"/>
      <w:u w:val="none"/>
    </w:rPr>
  </w:style>
  <w:style w:type="character" w:styleId="127">
    <w:name w:val="ListLabel 2"/>
    <w:qFormat/>
    <w:rPr>
      <w:rFonts w:cs="Courier New"/>
      <w:u w:val="none"/>
    </w:rPr>
  </w:style>
  <w:style w:type="character" w:styleId="128">
    <w:name w:val="ListLabel 3"/>
    <w:qFormat/>
    <w:rPr>
      <w:rFonts w:cs="Wingdings"/>
      <w:u w:val="none"/>
    </w:rPr>
  </w:style>
  <w:style w:type="character" w:styleId="129">
    <w:name w:val="ListLabel 4"/>
    <w:qFormat/>
    <w:rPr>
      <w:rFonts w:cs="Wingdings"/>
      <w:u w:val="none"/>
    </w:rPr>
  </w:style>
  <w:style w:type="character" w:styleId="130">
    <w:name w:val="ListLabel 5"/>
    <w:qFormat/>
    <w:rPr>
      <w:rFonts w:cs="Wingdings"/>
      <w:u w:val="none"/>
    </w:rPr>
  </w:style>
  <w:style w:type="character" w:styleId="131">
    <w:name w:val="ListLabel 6"/>
    <w:qFormat/>
    <w:rPr>
      <w:rFonts w:cs="Wingdings"/>
      <w:u w:val="none"/>
    </w:rPr>
  </w:style>
  <w:style w:type="character" w:styleId="132">
    <w:name w:val="ListLabel 7"/>
    <w:qFormat/>
    <w:rPr>
      <w:rFonts w:cs="Wingdings"/>
      <w:u w:val="none"/>
    </w:rPr>
  </w:style>
  <w:style w:type="character" w:styleId="133">
    <w:name w:val="ListLabel 8"/>
    <w:qFormat/>
    <w:rPr>
      <w:rFonts w:cs="Wingdings"/>
      <w:u w:val="none"/>
    </w:rPr>
  </w:style>
  <w:style w:type="character" w:styleId="134">
    <w:name w:val="ListLabel 9"/>
    <w:qFormat/>
    <w:rPr>
      <w:rFonts w:cs="Wingdings"/>
      <w:u w:val="none"/>
    </w:rPr>
  </w:style>
  <w:style w:type="paragraph" w:styleId="135">
    <w:name w:val="Заголовок"/>
    <w:basedOn w:val="112"/>
    <w:next w:val="136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136">
    <w:name w:val="Body Text"/>
    <w:basedOn w:val="112"/>
    <w:pPr>
      <w:spacing w:lineRule="auto" w:line="288" w:after="140" w:before="0"/>
    </w:pPr>
  </w:style>
  <w:style w:type="paragraph" w:styleId="137">
    <w:name w:val="List"/>
    <w:basedOn w:val="136"/>
    <w:rPr>
      <w:rFonts w:cs="Arial"/>
    </w:rPr>
  </w:style>
  <w:style w:type="paragraph" w:styleId="138">
    <w:name w:val="Caption"/>
    <w:basedOn w:val="112"/>
    <w:qFormat/>
    <w:rPr>
      <w:rFonts w:cs="Arial"/>
      <w:i/>
      <w:iCs/>
      <w:sz w:val="24"/>
      <w:szCs w:val="24"/>
    </w:rPr>
    <w:pPr>
      <w:spacing w:after="120" w:before="120"/>
    </w:pPr>
  </w:style>
  <w:style w:type="paragraph" w:styleId="139">
    <w:name w:val="Указатель"/>
    <w:basedOn w:val="112"/>
    <w:qFormat/>
    <w:rPr>
      <w:rFonts w:cs="Arial"/>
    </w:rPr>
  </w:style>
  <w:style w:type="paragraph" w:styleId="140">
    <w:name w:val="footnote text"/>
    <w:basedOn w:val="112"/>
    <w:qFormat/>
    <w:uiPriority w:val="99"/>
    <w:semiHidden/>
    <w:unhideWhenUsed/>
    <w:rPr>
      <w:sz w:val="20"/>
    </w:rPr>
    <w:pPr>
      <w:spacing w:lineRule="auto" w:line="240" w:after="0" w:before="0"/>
    </w:pPr>
  </w:style>
  <w:style w:type="paragraph" w:styleId="141">
    <w:name w:val="Footer"/>
    <w:basedOn w:val="112"/>
    <w:uiPriority w:val="99"/>
    <w:unhideWhenUsed/>
    <w:pPr>
      <w:spacing w:lineRule="auto" w:line="240" w:after="0" w:before="0"/>
      <w:tabs>
        <w:tab w:val="center" w:pos="4677"/>
        <w:tab w:val="right" w:pos="9355"/>
      </w:tabs>
    </w:pPr>
  </w:style>
  <w:style w:type="paragraph" w:styleId="142">
    <w:name w:val="Header"/>
    <w:basedOn w:val="112"/>
    <w:uiPriority w:val="99"/>
    <w:unhideWhenUsed/>
    <w:pPr>
      <w:spacing w:lineRule="auto" w:line="240" w:after="0" w:before="0"/>
      <w:tabs>
        <w:tab w:val="center" w:pos="4677"/>
        <w:tab w:val="right" w:pos="9355"/>
      </w:tabs>
    </w:pPr>
  </w:style>
  <w:style w:type="paragraph" w:styleId="143">
    <w:name w:val="No Spacing"/>
    <w:qFormat/>
    <w:uiPriority w:val="1"/>
    <w:rPr>
      <w:rFonts w:ascii="Arial" w:hAnsi="Arial" w:cs="Arial" w:eastAsia="Arial"/>
      <w:color w:val="00000A"/>
      <w:spacing w:val="0"/>
      <w:sz w:val="22"/>
      <w:szCs w:val="22"/>
      <w:lang w:val="en-US" w:bidi="ar-SA" w:eastAsia="en-US"/>
    </w:rPr>
    <w:pPr>
      <w:jc w:val="left"/>
      <w:spacing w:lineRule="auto" w:line="240" w:after="0" w:before="0"/>
      <w:widowControl/>
    </w:pPr>
  </w:style>
  <w:style w:type="paragraph" w:styleId="144">
    <w:name w:val="Quote"/>
    <w:basedOn w:val="112"/>
    <w:qFormat/>
    <w:uiPriority w:val="29"/>
    <w:rPr>
      <w:i/>
      <w:iCs/>
      <w:color w:val="373737"/>
      <w:sz w:val="18"/>
      <w:szCs w:val="18"/>
    </w:rPr>
    <w:pPr>
      <w:ind w:left="4536" w:right="0" w:hanging="0"/>
      <w:jc w:val="both"/>
    </w:pPr>
  </w:style>
  <w:style w:type="paragraph" w:styleId="145">
    <w:name w:val="Subtitle"/>
    <w:basedOn w:val="112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spacing w:lineRule="auto" w:line="240"/>
    </w:pPr>
  </w:style>
  <w:style w:type="paragraph" w:styleId="146">
    <w:name w:val="Intense Quote"/>
    <w:basedOn w:val="112"/>
    <w:qFormat/>
    <w:uiPriority w:val="30"/>
    <w:rPr>
      <w:b/>
      <w:bCs/>
      <w:i/>
      <w:iCs/>
      <w:color w:val="464646"/>
      <w:sz w:val="19"/>
      <w:szCs w:val="19"/>
    </w:rPr>
    <w:pPr>
      <w:ind w:left="567" w:right="567" w:hanging="0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47">
    <w:name w:val="Title"/>
    <w:basedOn w:val="112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1" w:sz="24" w:space="0"/>
      </w:pBdr>
    </w:pPr>
  </w:style>
  <w:style w:type="paragraph" w:styleId="148">
    <w:name w:val="List Paragraph"/>
    <w:basedOn w:val="112"/>
    <w:qFormat/>
    <w:uiPriority w:val="34"/>
    <w:pPr>
      <w:contextualSpacing w:val="true"/>
      <w:ind w:left="720" w:right="0" w:hanging="0"/>
      <w:spacing w:after="200" w:before="0"/>
    </w:pPr>
  </w:style>
  <w:style w:type="paragraph" w:styleId="149">
    <w:name w:val="161"/>
    <w:qFormat/>
    <w:rPr>
      <w:rFonts w:ascii="Times New Roman" w:hAnsi="Times New Roman" w:cs="Times New Roman" w:eastAsia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Cs w:val="22"/>
      <w:u w:val="none"/>
      <w:vertAlign w:val="baseline"/>
      <w:lang w:val="en-US" w:bidi="en-US" w:eastAsia="en-US"/>
    </w:rPr>
    <w:pPr>
      <w:ind w:left="0" w:right="0" w:hanging="0"/>
      <w:jc w:val="left"/>
      <w:keepLines w:val="false"/>
      <w:keepNext/>
      <w:pageBreakBefore w:val="false"/>
      <w:spacing w:lineRule="auto" w:line="240" w:after="0" w:afterAutospacing="0" w:before="0" w:beforeAutospacing="0"/>
      <w:shd w:val="clear" w:color="auto" w:fill="auto"/>
      <w:widowControl/>
    </w:pPr>
  </w:style>
  <w:style w:type="paragraph" w:styleId="150">
    <w:name w:val="169"/>
    <w:qFormat/>
    <w:rPr>
      <w:rFonts w:ascii="Times New Roman" w:hAnsi="Times New Roman" w:cs="Times New Roman" w:eastAsia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Cs w:val="22"/>
      <w:u w:val="none"/>
      <w:vertAlign w:val="baseline"/>
      <w:lang w:val="en-US" w:bidi="en-US" w:eastAsia="en-US"/>
    </w:rPr>
    <w:pPr>
      <w:ind w:left="0" w:right="0" w:hanging="0"/>
      <w:jc w:val="left"/>
      <w:keepLines w:val="false"/>
      <w:keepNext/>
      <w:pageBreakBefore w:val="false"/>
      <w:spacing w:lineRule="auto" w:line="240" w:after="0" w:afterAutospacing="0" w:before="0" w:beforeAutospacing="0"/>
      <w:shd w:val="clear" w:color="auto" w:fill="auto"/>
      <w:widowControl/>
    </w:pPr>
  </w:style>
  <w:style w:type="paragraph" w:styleId="151">
    <w:name w:val="163"/>
    <w:qFormat/>
    <w:rPr>
      <w:rFonts w:ascii="Times New Roman" w:hAnsi="Times New Roman" w:cs="Times New Roman" w:eastAsia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Cs w:val="22"/>
      <w:u w:val="none"/>
      <w:vertAlign w:val="baseline"/>
      <w:lang w:val="en-US" w:bidi="en-US" w:eastAsia="en-US"/>
    </w:rPr>
    <w:pPr>
      <w:ind w:left="0" w:right="0" w:hanging="0"/>
      <w:jc w:val="left"/>
      <w:keepLines w:val="false"/>
      <w:keepNext/>
      <w:pageBreakBefore w:val="false"/>
      <w:spacing w:lineRule="auto" w:line="240" w:after="120" w:afterAutospacing="0" w:before="0" w:beforeAutospacing="0"/>
      <w:shd w:val="clear" w:color="auto" w:fill="auto"/>
      <w:widowControl/>
    </w:pPr>
  </w:style>
  <w:style w:type="paragraph" w:styleId="152">
    <w:name w:val="Блочная цитата"/>
    <w:basedOn w:val="112"/>
    <w:qFormat/>
  </w:style>
  <w:style w:type="numbering" w:styleId="153" w:default="1">
    <w:name w:val="No List"/>
    <w:qFormat/>
    <w:uiPriority w:val="99"/>
    <w:semiHidden/>
    <w:unhideWhenUsed/>
  </w:style>
  <w:style w:type="table" w:styleId="154">
    <w:name w:val="Table Grid"/>
    <w:basedOn w:val="1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55">
    <w:name w:val="Lined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/>
      </w:tcPr>
    </w:tblStylePr>
    <w:tblStylePr w:type="band2Vert">
      <w:rPr>
        <w:color w:val="404040"/>
        <w:sz w:val="22"/>
      </w:rPr>
      <w:tcPr>
        <w:shd w:val="clear" w:color="auto" w:fill="F2F2F2"/>
      </w:tcPr>
    </w:tblStylePr>
    <w:tblStylePr w:type="firstCol">
      <w:rPr>
        <w:color w:val="F2F2F2"/>
        <w:sz w:val="22"/>
      </w:rPr>
      <w:tcPr>
        <w:shd w:val="clear" w:color="auto" w:fill="7F7F7F"/>
      </w:tcPr>
    </w:tblStylePr>
    <w:tblStylePr w:type="firstRow">
      <w:rPr>
        <w:color w:val="F2F2F2"/>
        <w:sz w:val="22"/>
      </w:rPr>
      <w:tcPr>
        <w:shd w:val="clear" w:color="auto" w:fill="7F7F7F"/>
      </w:tcPr>
    </w:tblStylePr>
    <w:tblStylePr w:type="lastCol">
      <w:rPr>
        <w:color w:val="F2F2F2"/>
        <w:sz w:val="22"/>
      </w:rPr>
      <w:tcPr>
        <w:shd w:val="clear" w:color="auto" w:fill="7F7F7F"/>
      </w:tcPr>
    </w:tblStylePr>
    <w:tblStylePr w:type="lastRow">
      <w:rPr>
        <w:color w:val="F2F2F2"/>
        <w:sz w:val="22"/>
      </w:rPr>
      <w:tcPr>
        <w:shd w:val="clear" w:color="auto" w:fill="7F7F7F"/>
      </w:tcPr>
    </w:tblStylePr>
  </w:style>
  <w:style w:type="table" w:styleId="156">
    <w:name w:val="Lined - Accent 1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6D9F1"/>
      </w:tcPr>
    </w:tblStylePr>
    <w:tblStylePr w:type="band2Vert">
      <w:rPr>
        <w:color w:val="404040"/>
        <w:sz w:val="22"/>
      </w:rPr>
      <w:tcPr>
        <w:shd w:val="clear" w:color="auto" w:fill="C6D9F1"/>
      </w:tcPr>
    </w:tblStylePr>
    <w:tblStylePr w:type="firstCol">
      <w:rPr>
        <w:color w:val="F2F2F2"/>
        <w:sz w:val="22"/>
      </w:rPr>
      <w:tcPr>
        <w:shd w:val="clear" w:color="auto" w:fill="548DD4"/>
      </w:tcPr>
    </w:tblStylePr>
    <w:tblStylePr w:type="firstRow">
      <w:rPr>
        <w:color w:val="F2F2F2"/>
        <w:sz w:val="22"/>
      </w:rPr>
      <w:tcPr>
        <w:shd w:val="clear" w:color="auto" w:fill="548DD4"/>
      </w:tcPr>
    </w:tblStylePr>
    <w:tblStylePr w:type="lastCol">
      <w:rPr>
        <w:color w:val="F2F2F2"/>
        <w:sz w:val="22"/>
      </w:rPr>
      <w:tcPr>
        <w:shd w:val="clear" w:color="auto" w:fill="548DD4"/>
      </w:tcPr>
    </w:tblStylePr>
    <w:tblStylePr w:type="lastRow">
      <w:rPr>
        <w:color w:val="F2F2F2"/>
        <w:sz w:val="22"/>
      </w:rPr>
      <w:tcPr>
        <w:shd w:val="clear" w:color="auto" w:fill="548DD4"/>
      </w:tcPr>
    </w:tblStylePr>
  </w:style>
  <w:style w:type="table" w:styleId="157">
    <w:name w:val="Lined - Accent 2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BDB"/>
      </w:tcPr>
    </w:tblStylePr>
    <w:tblStylePr w:type="band2Vert">
      <w:rPr>
        <w:color w:val="404040"/>
        <w:sz w:val="22"/>
      </w:rPr>
      <w:tcPr>
        <w:shd w:val="clear" w:color="auto" w:fill="F2DBDB"/>
      </w:tcPr>
    </w:tblStylePr>
    <w:tblStylePr w:type="firstCol">
      <w:rPr>
        <w:color w:val="F2F2F2"/>
        <w:sz w:val="22"/>
      </w:rPr>
      <w:tcPr>
        <w:shd w:val="clear" w:color="auto" w:fill="D99594"/>
      </w:tcPr>
    </w:tblStylePr>
    <w:tblStylePr w:type="firstRow">
      <w:rPr>
        <w:color w:val="F2F2F2"/>
        <w:sz w:val="22"/>
      </w:rPr>
      <w:tcPr>
        <w:shd w:val="clear" w:color="auto" w:fill="D99594"/>
      </w:tcPr>
    </w:tblStylePr>
    <w:tblStylePr w:type="lastCol">
      <w:rPr>
        <w:color w:val="F2F2F2"/>
        <w:sz w:val="22"/>
      </w:rPr>
      <w:tcPr>
        <w:shd w:val="clear" w:color="auto" w:fill="D99594"/>
      </w:tcPr>
    </w:tblStylePr>
    <w:tblStylePr w:type="lastRow">
      <w:rPr>
        <w:color w:val="F2F2F2"/>
        <w:sz w:val="22"/>
      </w:rPr>
      <w:tcPr>
        <w:shd w:val="clear" w:color="auto" w:fill="D99594"/>
      </w:tcPr>
    </w:tblStylePr>
  </w:style>
  <w:style w:type="table" w:styleId="158">
    <w:name w:val="Lined - Accent 3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D"/>
      </w:tcPr>
    </w:tblStylePr>
    <w:tblStylePr w:type="band2Vert">
      <w:rPr>
        <w:color w:val="404040"/>
        <w:sz w:val="22"/>
      </w:rPr>
      <w:tcPr>
        <w:shd w:val="clear" w:color="auto" w:fill="EAF1DD"/>
      </w:tcPr>
    </w:tblStylePr>
    <w:tblStylePr w:type="firstCol">
      <w:rPr>
        <w:color w:val="F2F2F2"/>
        <w:sz w:val="22"/>
      </w:rPr>
      <w:tcPr>
        <w:shd w:val="clear" w:color="auto" w:fill="9BB559"/>
      </w:tcPr>
    </w:tblStylePr>
    <w:tblStylePr w:type="firstRow">
      <w:rPr>
        <w:color w:val="F2F2F2"/>
        <w:sz w:val="22"/>
      </w:rPr>
      <w:tcPr>
        <w:shd w:val="clear" w:color="auto" w:fill="9BB559"/>
      </w:tcPr>
    </w:tblStylePr>
    <w:tblStylePr w:type="lastCol">
      <w:rPr>
        <w:color w:val="F2F2F2"/>
        <w:sz w:val="22"/>
      </w:rPr>
      <w:tcPr>
        <w:shd w:val="clear" w:color="auto" w:fill="9BB559"/>
      </w:tcPr>
    </w:tblStylePr>
    <w:tblStylePr w:type="lastRow">
      <w:rPr>
        <w:color w:val="F2F2F2"/>
        <w:sz w:val="22"/>
      </w:rPr>
      <w:tcPr>
        <w:shd w:val="clear" w:color="auto" w:fill="9BB559"/>
      </w:tcPr>
    </w:tblStylePr>
  </w:style>
  <w:style w:type="table" w:styleId="159">
    <w:name w:val="Lined - Accent 4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/>
      </w:tcPr>
    </w:tblStylePr>
    <w:tblStylePr w:type="band2Vert">
      <w:rPr>
        <w:color w:val="404040"/>
        <w:sz w:val="22"/>
      </w:rPr>
      <w:tcPr>
        <w:shd w:val="clear" w:color="auto" w:fill="E5DFEC"/>
      </w:tcPr>
    </w:tblStylePr>
    <w:tblStylePr w:type="firstCol">
      <w:rPr>
        <w:color w:val="F2F2F2"/>
        <w:sz w:val="22"/>
      </w:rPr>
      <w:tcPr>
        <w:shd w:val="clear" w:color="auto" w:fill="B2A1C7"/>
      </w:tcPr>
    </w:tblStylePr>
    <w:tblStylePr w:type="firstRow">
      <w:rPr>
        <w:color w:val="F2F2F2"/>
        <w:sz w:val="22"/>
      </w:rPr>
      <w:tcPr>
        <w:shd w:val="clear" w:color="auto" w:fill="B2A1C7"/>
      </w:tcPr>
    </w:tblStylePr>
    <w:tblStylePr w:type="lastCol">
      <w:rPr>
        <w:color w:val="F2F2F2"/>
        <w:sz w:val="22"/>
      </w:rPr>
      <w:tcPr>
        <w:shd w:val="clear" w:color="auto" w:fill="B2A1C7"/>
      </w:tcPr>
    </w:tblStylePr>
    <w:tblStylePr w:type="lastRow">
      <w:rPr>
        <w:color w:val="F2F2F2"/>
        <w:sz w:val="22"/>
      </w:rPr>
      <w:tcPr>
        <w:shd w:val="clear" w:color="auto" w:fill="B2A1C7"/>
      </w:tcPr>
    </w:tblStylePr>
  </w:style>
  <w:style w:type="table" w:styleId="160">
    <w:name w:val="Lined - Accent 5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/>
      </w:tcPr>
    </w:tblStylePr>
    <w:tblStylePr w:type="band2Vert">
      <w:rPr>
        <w:color w:val="404040"/>
        <w:sz w:val="22"/>
      </w:rPr>
      <w:tcPr>
        <w:shd w:val="clear" w:color="auto" w:fill="DAEEF3"/>
      </w:tcPr>
    </w:tblStylePr>
    <w:tblStylePr w:type="firstCol">
      <w:rPr>
        <w:color w:val="F2F2F2"/>
        <w:sz w:val="22"/>
      </w:rPr>
      <w:tcPr>
        <w:shd w:val="clear" w:color="auto" w:fill="4BACC6"/>
      </w:tcPr>
    </w:tblStylePr>
    <w:tblStylePr w:type="firstRow">
      <w:rPr>
        <w:color w:val="F2F2F2"/>
        <w:sz w:val="22"/>
      </w:rPr>
      <w:tcPr>
        <w:shd w:val="clear" w:color="auto" w:fill="4BACC6"/>
      </w:tcPr>
    </w:tblStylePr>
    <w:tblStylePr w:type="lastCol">
      <w:rPr>
        <w:color w:val="F2F2F2"/>
        <w:sz w:val="22"/>
      </w:rPr>
      <w:tcPr>
        <w:shd w:val="clear" w:color="auto" w:fill="4BACC6"/>
      </w:tcPr>
    </w:tblStylePr>
    <w:tblStylePr w:type="lastRow">
      <w:rPr>
        <w:color w:val="F2F2F2"/>
        <w:sz w:val="22"/>
      </w:rPr>
      <w:tcPr>
        <w:shd w:val="clear" w:color="auto" w:fill="4BACC6"/>
      </w:tcPr>
    </w:tblStylePr>
  </w:style>
  <w:style w:type="table" w:styleId="161">
    <w:name w:val="Lined - Accent 6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9"/>
      </w:tcPr>
    </w:tblStylePr>
    <w:tblStylePr w:type="band2Vert">
      <w:rPr>
        <w:color w:val="404040"/>
        <w:sz w:val="22"/>
      </w:rPr>
      <w:tcPr>
        <w:shd w:val="clear" w:color="auto" w:fill="FDE9D9"/>
      </w:tcPr>
    </w:tblStylePr>
    <w:tblStylePr w:type="firstCol">
      <w:rPr>
        <w:color w:val="F2F2F2"/>
        <w:sz w:val="22"/>
      </w:rPr>
      <w:tcPr>
        <w:shd w:val="clear" w:color="auto" w:fill="F79646"/>
      </w:tcPr>
    </w:tblStylePr>
    <w:tblStylePr w:type="firstRow">
      <w:rPr>
        <w:color w:val="F2F2F2"/>
        <w:sz w:val="22"/>
      </w:rPr>
      <w:tcPr>
        <w:shd w:val="clear" w:color="auto" w:fill="F79646"/>
      </w:tcPr>
    </w:tblStylePr>
    <w:tblStylePr w:type="lastCol">
      <w:rPr>
        <w:color w:val="F2F2F2"/>
        <w:sz w:val="22"/>
      </w:rPr>
      <w:tcPr>
        <w:shd w:val="clear" w:color="auto" w:fill="F79646"/>
      </w:tcPr>
    </w:tblStylePr>
    <w:tblStylePr w:type="lastRow">
      <w:rPr>
        <w:color w:val="F2F2F2"/>
        <w:sz w:val="22"/>
      </w:rPr>
      <w:tcPr>
        <w:shd w:val="clear" w:color="auto" w:fill="F79646"/>
      </w:tcPr>
    </w:tblStylePr>
  </w:style>
  <w:style w:type="table" w:styleId="162">
    <w:name w:val="Bordered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63">
    <w:name w:val="Bordered - Accent 1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64">
    <w:name w:val="Bordered - Accent 2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165">
    <w:name w:val="Bordered - Accent 3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166">
    <w:name w:val="Bordered - Accent 4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167">
    <w:name w:val="Bordered - Accent 5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168">
    <w:name w:val="Bordered - Accent 6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169">
    <w:name w:val="Bordered &amp; Lined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/>
      </w:tcPr>
    </w:tblStylePr>
    <w:tblStylePr w:type="band2Vert">
      <w:rPr>
        <w:color w:val="404040"/>
        <w:sz w:val="22"/>
      </w:rPr>
      <w:tcPr>
        <w:shd w:val="clear" w:color="auto" w:fill="D9D9D9"/>
      </w:tcPr>
    </w:tblStylePr>
    <w:tblStylePr w:type="firstCol">
      <w:rPr>
        <w:color w:val="F2F2F2"/>
        <w:sz w:val="22"/>
      </w:rPr>
      <w:tcPr>
        <w:shd w:val="clear" w:color="auto" w:fill="7F7F7F"/>
      </w:tcPr>
    </w:tblStylePr>
    <w:tblStylePr w:type="firstRow">
      <w:rPr>
        <w:color w:val="F2F2F2"/>
        <w:sz w:val="22"/>
      </w:rPr>
      <w:tcPr>
        <w:shd w:val="clear" w:color="auto" w:fill="7F7F7F"/>
      </w:tcPr>
    </w:tblStylePr>
    <w:tblStylePr w:type="lastCol">
      <w:rPr>
        <w:color w:val="F2F2F2"/>
        <w:sz w:val="22"/>
      </w:rPr>
      <w:tcPr>
        <w:shd w:val="clear" w:color="auto" w:fill="7F7F7F"/>
      </w:tcPr>
    </w:tblStylePr>
    <w:tblStylePr w:type="lastRow">
      <w:rPr>
        <w:color w:val="F2F2F2"/>
        <w:sz w:val="22"/>
      </w:rPr>
      <w:tcPr>
        <w:shd w:val="clear" w:color="auto" w:fill="7F7F7F"/>
      </w:tcPr>
    </w:tblStylePr>
  </w:style>
  <w:style w:type="table" w:styleId="170">
    <w:name w:val="Bordered &amp; Lined - Accent 1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6D9F1"/>
      </w:tcPr>
    </w:tblStylePr>
    <w:tblStylePr w:type="band2Vert">
      <w:rPr>
        <w:color w:val="404040"/>
        <w:sz w:val="22"/>
      </w:rPr>
      <w:tcPr>
        <w:shd w:val="clear" w:color="auto" w:fill="C6D9F1"/>
      </w:tcPr>
    </w:tblStylePr>
    <w:tblStylePr w:type="firstCol">
      <w:rPr>
        <w:color w:val="F2F2F2"/>
        <w:sz w:val="22"/>
      </w:rPr>
      <w:tcPr>
        <w:shd w:val="clear" w:color="auto" w:fill="548DD4"/>
      </w:tcPr>
    </w:tblStylePr>
    <w:tblStylePr w:type="firstRow">
      <w:rPr>
        <w:color w:val="F2F2F2"/>
        <w:sz w:val="22"/>
      </w:rPr>
      <w:tcPr>
        <w:shd w:val="clear" w:color="auto" w:fill="548DD4"/>
      </w:tcPr>
    </w:tblStylePr>
    <w:tblStylePr w:type="lastCol">
      <w:rPr>
        <w:color w:val="F2F2F2"/>
        <w:sz w:val="22"/>
      </w:rPr>
      <w:tcPr>
        <w:shd w:val="clear" w:color="auto" w:fill="548DD4"/>
      </w:tcPr>
    </w:tblStylePr>
    <w:tblStylePr w:type="lastRow">
      <w:rPr>
        <w:color w:val="F2F2F2"/>
        <w:sz w:val="22"/>
      </w:rPr>
      <w:tcPr>
        <w:shd w:val="clear" w:color="auto" w:fill="548DD4"/>
      </w:tcPr>
    </w:tblStylePr>
  </w:style>
  <w:style w:type="table" w:styleId="171">
    <w:name w:val="Bordered &amp; Lined - Accent 2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BDB"/>
      </w:tcPr>
    </w:tblStylePr>
    <w:tblStylePr w:type="band2Vert">
      <w:rPr>
        <w:color w:val="404040"/>
        <w:sz w:val="22"/>
      </w:rPr>
      <w:tcPr>
        <w:shd w:val="clear" w:color="auto" w:fill="F2DBDB"/>
      </w:tcPr>
    </w:tblStylePr>
    <w:tblStylePr w:type="firstCol">
      <w:rPr>
        <w:color w:val="F2F2F2"/>
        <w:sz w:val="22"/>
      </w:rPr>
      <w:tcPr>
        <w:shd w:val="clear" w:color="auto" w:fill="D99594"/>
      </w:tcPr>
    </w:tblStylePr>
    <w:tblStylePr w:type="firstRow">
      <w:rPr>
        <w:color w:val="F2F2F2"/>
        <w:sz w:val="22"/>
      </w:rPr>
      <w:tcPr>
        <w:shd w:val="clear" w:color="auto" w:fill="D99594"/>
      </w:tcPr>
    </w:tblStylePr>
    <w:tblStylePr w:type="lastCol">
      <w:rPr>
        <w:color w:val="F2F2F2"/>
        <w:sz w:val="22"/>
      </w:rPr>
      <w:tcPr>
        <w:shd w:val="clear" w:color="auto" w:fill="D99594"/>
      </w:tcPr>
    </w:tblStylePr>
    <w:tblStylePr w:type="lastRow">
      <w:rPr>
        <w:color w:val="F2F2F2"/>
        <w:sz w:val="22"/>
      </w:rPr>
      <w:tcPr>
        <w:shd w:val="clear" w:color="auto" w:fill="D99594"/>
      </w:tcPr>
    </w:tblStylePr>
  </w:style>
  <w:style w:type="table" w:styleId="172">
    <w:name w:val="Bordered &amp; Lined - Accent 3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D"/>
      </w:tcPr>
    </w:tblStylePr>
    <w:tblStylePr w:type="band2Vert">
      <w:rPr>
        <w:color w:val="404040"/>
        <w:sz w:val="22"/>
      </w:rPr>
      <w:tcPr>
        <w:shd w:val="clear" w:color="auto" w:fill="EAF1DD"/>
      </w:tcPr>
    </w:tblStylePr>
    <w:tblStylePr w:type="firstCol">
      <w:rPr>
        <w:color w:val="F2F2F2"/>
        <w:sz w:val="22"/>
      </w:rPr>
      <w:tcPr>
        <w:shd w:val="clear" w:color="auto" w:fill="9BBB59"/>
      </w:tcPr>
    </w:tblStylePr>
    <w:tblStylePr w:type="firstRow">
      <w:rPr>
        <w:color w:val="F2F2F2"/>
        <w:sz w:val="22"/>
      </w:rPr>
      <w:tcPr>
        <w:shd w:val="clear" w:color="auto" w:fill="9BBB59"/>
      </w:tcPr>
    </w:tblStylePr>
    <w:tblStylePr w:type="lastCol">
      <w:rPr>
        <w:color w:val="F2F2F2"/>
        <w:sz w:val="22"/>
      </w:rPr>
      <w:tcPr>
        <w:shd w:val="clear" w:color="auto" w:fill="9BBB59"/>
      </w:tcPr>
    </w:tblStylePr>
    <w:tblStylePr w:type="lastRow">
      <w:rPr>
        <w:color w:val="F2F2F2"/>
        <w:sz w:val="22"/>
      </w:rPr>
      <w:tcPr>
        <w:shd w:val="clear" w:color="auto" w:fill="9BBB59"/>
      </w:tcPr>
    </w:tblStylePr>
  </w:style>
  <w:style w:type="table" w:styleId="173">
    <w:name w:val="Bordered &amp; Lined - Accent 4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/>
      </w:tcPr>
    </w:tblStylePr>
    <w:tblStylePr w:type="band2Vert">
      <w:rPr>
        <w:color w:val="404040"/>
        <w:sz w:val="22"/>
      </w:rPr>
      <w:tcPr>
        <w:shd w:val="clear" w:color="auto" w:fill="E5DFEC"/>
      </w:tcPr>
    </w:tblStylePr>
    <w:tblStylePr w:type="firstCol">
      <w:rPr>
        <w:color w:val="F2F2F2"/>
        <w:sz w:val="22"/>
      </w:rPr>
      <w:tcPr>
        <w:shd w:val="clear" w:color="auto" w:fill="B2A1C7"/>
      </w:tcPr>
    </w:tblStylePr>
    <w:tblStylePr w:type="firstRow">
      <w:rPr>
        <w:color w:val="F2F2F2"/>
        <w:sz w:val="22"/>
      </w:rPr>
      <w:tcPr>
        <w:shd w:val="clear" w:color="auto" w:fill="B2A1C7"/>
      </w:tcPr>
    </w:tblStylePr>
    <w:tblStylePr w:type="lastCol">
      <w:rPr>
        <w:color w:val="F2F2F2"/>
        <w:sz w:val="22"/>
      </w:rPr>
      <w:tcPr>
        <w:shd w:val="clear" w:color="auto" w:fill="B2A1C7"/>
      </w:tcPr>
    </w:tblStylePr>
    <w:tblStylePr w:type="lastRow">
      <w:rPr>
        <w:color w:val="F2F2F2"/>
        <w:sz w:val="22"/>
      </w:rPr>
      <w:tcPr>
        <w:shd w:val="clear" w:color="auto" w:fill="B2A1C7"/>
      </w:tcPr>
    </w:tblStylePr>
  </w:style>
  <w:style w:type="table" w:styleId="174">
    <w:name w:val="Bordered &amp; Lined - Accent 5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/>
      </w:tcPr>
    </w:tblStylePr>
    <w:tblStylePr w:type="band2Vert">
      <w:rPr>
        <w:color w:val="404040"/>
        <w:sz w:val="22"/>
      </w:rPr>
      <w:tcPr>
        <w:shd w:val="clear" w:color="auto" w:fill="DAEEF3"/>
      </w:tcPr>
    </w:tblStylePr>
    <w:tblStylePr w:type="firstCol">
      <w:rPr>
        <w:color w:val="F2F2F2"/>
        <w:sz w:val="22"/>
      </w:rPr>
      <w:tcPr>
        <w:shd w:val="clear" w:color="auto" w:fill="4BACC6"/>
      </w:tcPr>
    </w:tblStylePr>
    <w:tblStylePr w:type="firstRow">
      <w:rPr>
        <w:color w:val="F2F2F2"/>
        <w:sz w:val="22"/>
      </w:rPr>
      <w:tcPr>
        <w:shd w:val="clear" w:color="auto" w:fill="4BACC6"/>
      </w:tcPr>
    </w:tblStylePr>
    <w:tblStylePr w:type="lastCol">
      <w:rPr>
        <w:color w:val="F2F2F2"/>
        <w:sz w:val="22"/>
      </w:rPr>
      <w:tcPr>
        <w:shd w:val="clear" w:color="auto" w:fill="4BACC6"/>
      </w:tcPr>
    </w:tblStylePr>
    <w:tblStylePr w:type="lastRow">
      <w:rPr>
        <w:color w:val="F2F2F2"/>
        <w:sz w:val="22"/>
      </w:rPr>
      <w:tcPr>
        <w:shd w:val="clear" w:color="auto" w:fill="4BACC6"/>
      </w:tcPr>
    </w:tblStylePr>
  </w:style>
  <w:style w:type="table" w:styleId="175">
    <w:name w:val="Bordered &amp; Lined - Accent 6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9"/>
      </w:tcPr>
    </w:tblStylePr>
    <w:tblStylePr w:type="band2Vert">
      <w:rPr>
        <w:color w:val="404040"/>
        <w:sz w:val="22"/>
      </w:rPr>
      <w:tcPr>
        <w:shd w:val="clear" w:color="auto" w:fill="FDE9D9"/>
      </w:tcPr>
    </w:tblStylePr>
    <w:tblStylePr w:type="firstCol">
      <w:rPr>
        <w:color w:val="F2F2F2"/>
        <w:sz w:val="22"/>
      </w:rPr>
      <w:tcPr>
        <w:shd w:val="clear" w:color="auto" w:fill="F79646"/>
      </w:tcPr>
    </w:tblStylePr>
    <w:tblStylePr w:type="firstRow">
      <w:rPr>
        <w:color w:val="F2F2F2"/>
        <w:sz w:val="22"/>
      </w:rPr>
      <w:tcPr>
        <w:shd w:val="clear" w:color="auto" w:fill="F79646"/>
      </w:tcPr>
    </w:tblStylePr>
    <w:tblStylePr w:type="lastCol">
      <w:rPr>
        <w:color w:val="F2F2F2"/>
        <w:sz w:val="22"/>
      </w:rPr>
      <w:tcPr>
        <w:shd w:val="clear" w:color="auto" w:fill="F79646"/>
      </w:tcPr>
    </w:tblStylePr>
    <w:tblStylePr w:type="lastRow">
      <w:rPr>
        <w:color w:val="F2F2F2"/>
        <w:sz w:val="22"/>
      </w:rPr>
      <w:tcPr>
        <w:shd w:val="clear" w:color="auto" w:fill="F79646"/>
      </w:tcPr>
    </w:tblStylePr>
  </w:style>
  <w:style w:type="table" w:styleId="1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4.3000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